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3"/>
        <w:gridCol w:w="5911"/>
      </w:tblGrid>
      <w:tr>
        <w:trPr/>
        <w:tc>
          <w:tcPr>
            <w:tcW w:w="3733" w:type="dxa"/>
            <w:tcBorders/>
            <w:vAlign w:val="center"/>
          </w:tcPr>
          <w:p>
            <w:pPr>
              <w:pStyle w:val="Obsahtabulky"/>
              <w:widowControl w:val="false"/>
              <w:rPr/>
            </w:pPr>
            <w:r>
              <w:rPr/>
              <w:drawing>
                <wp:inline distT="0" distB="0" distL="0" distR="0">
                  <wp:extent cx="2300605" cy="1056640"/>
                  <wp:effectExtent l="0" t="0" r="0" b="0"/>
                  <wp:docPr id="1" name="Obrázek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605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1" w:type="dxa"/>
            <w:tcBorders/>
          </w:tcPr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sz w:val="36"/>
                <w:szCs w:val="36"/>
              </w:rPr>
            </w:pPr>
            <w:r>
              <w:rPr>
                <w:rFonts w:ascii="Helvetica Neue" w:hAnsi="Helvetica Neue"/>
                <w:sz w:val="36"/>
                <w:szCs w:val="36"/>
              </w:rPr>
              <w:t>Referenční velkoobchodní nabídka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přístupu na sítích VHCN budovaných s využitím dotačních programů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/>
            </w:pPr>
            <w:r>
              <w:rPr>
                <w:rFonts w:ascii="Helvetica Neue" w:hAnsi="Helvetica Neue"/>
                <w:sz w:val="40"/>
                <w:szCs w:val="40"/>
              </w:rPr>
              <w:t>„</w:t>
            </w:r>
            <w:r>
              <w:rPr>
                <w:rFonts w:ascii="Helvetica Neue" w:hAnsi="Helvetica Neue"/>
                <w:sz w:val="40"/>
                <w:szCs w:val="40"/>
              </w:rPr>
              <w:t>Digitální vysokokapacitní sítě“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hanging="0" w:left="113" w:right="0"/>
              <w:jc w:val="left"/>
              <w:rPr/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>příloha č. 12 – Seznam použitých zkratek</w:t>
            </w:r>
          </w:p>
        </w:tc>
      </w:tr>
    </w:tbl>
    <w:p>
      <w:pPr>
        <w:pStyle w:val="Heading1"/>
        <w:tabs>
          <w:tab w:val="clear" w:pos="720"/>
          <w:tab w:val="left" w:pos="403" w:leader="none"/>
        </w:tabs>
        <w:spacing w:before="89" w:after="0"/>
        <w:ind w:hanging="0" w:left="13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tabs>
          <w:tab w:val="clear" w:pos="720"/>
          <w:tab w:val="left" w:pos="403" w:leader="none"/>
        </w:tabs>
        <w:spacing w:before="89" w:after="0"/>
        <w:ind w:hanging="0" w:left="134"/>
        <w:rPr>
          <w:rFonts w:ascii="Helvetica Neue" w:hAnsi="Helvetica Neue"/>
        </w:rPr>
      </w:pPr>
      <w:r>
        <w:rPr>
          <w:rFonts w:ascii="Helvetica Neue" w:hAnsi="Helvetica Neue"/>
        </w:rPr>
        <w:t>Seznam použitých zkratek v referen</w:t>
      </w:r>
      <w:r>
        <w:rPr>
          <w:rFonts w:eastAsia="Arial" w:cs="Arial" w:ascii="Helvetica Neue" w:hAnsi="Helvetica Neue"/>
          <w:color w:val="auto"/>
          <w:kern w:val="2"/>
          <w:sz w:val="32"/>
          <w:szCs w:val="32"/>
          <w:lang w:val="cs-CZ" w:eastAsia="zh-CN" w:bidi="hi-IN"/>
        </w:rPr>
        <w:t>ční velkoobchodní nabídce a jejích přílohách</w:t>
      </w:r>
    </w:p>
    <w:p>
      <w:pPr>
        <w:pStyle w:val="BodyText"/>
        <w:spacing w:before="2" w:after="0"/>
        <w:rPr>
          <w:rFonts w:ascii="Helvetica Neue" w:hAnsi="Helvetica Neue" w:cs="Arial"/>
          <w:sz w:val="24"/>
          <w:szCs w:val="24"/>
        </w:rPr>
      </w:pPr>
      <w:r>
        <w:rPr>
          <w:rFonts w:cs="Arial" w:ascii="Helvetica Neue" w:hAnsi="Helvetica Neue"/>
          <w:sz w:val="24"/>
          <w:szCs w:val="24"/>
        </w:rPr>
      </w:r>
    </w:p>
    <w:tbl>
      <w:tblPr>
        <w:tblW w:w="8955" w:type="dxa"/>
        <w:jc w:val="left"/>
        <w:tblInd w:w="3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50"/>
        <w:gridCol w:w="7304"/>
      </w:tblGrid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RUIAN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Registr adres, územní identifikace a nemovitostí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ZSJ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Základní sídelní jednotka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OLT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Optical line terminal – koncentrátor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 sítě GPON/XGS-PON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PoP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Point of presence – uzel s aktivn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technologií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CP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Concentration point - soust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řeďovací bod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DC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Datacentrum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DP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Distribu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tion point – distribuční bod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CO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 xml:space="preserve">Central office 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– aktivní bod Dotované sítě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BSP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Bitstream point – bod mo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žného předání služby bitstream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K</w:t>
            </w: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ÚP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Koncov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ý účastník Partnera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KZ</w:t>
            </w: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ÚP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Koncov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é zařízení účastníka Partnera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VULA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Virtual Unbundled Local Access – zp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řístupnění datového toku na lokální smyčce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WDM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Wavelength-division multiplexing – p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řenos v optickém vlákně s rozdělením do jednotlivých vlnových délek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IS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Informa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 systém využívaný fi. Sprintel pro správu operátorské agendy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Úřad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Český telekomunikační úřad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II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Individ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ální investice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  <w:shd w:fill="auto" w:val="clear"/>
              </w:rPr>
              <w:t>ZEK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Z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ákon 127/2005sb. o elektronických komunikacích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  <w:shd w:fill="auto" w:val="clear"/>
              </w:rPr>
              <w:t>GBER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Obecné nařízení o blokových výjimkách</w:t>
            </w:r>
          </w:p>
        </w:tc>
      </w:tr>
    </w:tbl>
    <w:p>
      <w:pPr>
        <w:pStyle w:val="BodyText"/>
        <w:spacing w:before="2" w:after="0"/>
        <w:rPr>
          <w:rFonts w:ascii="Helvetica Neue" w:hAnsi="Helvetica Neue" w:cs="Arial"/>
          <w:sz w:val="36"/>
          <w:szCs w:val="36"/>
        </w:rPr>
      </w:pPr>
      <w:r>
        <w:rPr>
          <w:rFonts w:cs="Arial" w:ascii="Helvetica Neue" w:hAnsi="Helvetica Neue"/>
          <w:sz w:val="36"/>
          <w:szCs w:val="36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 w:eastAsia="Songti SC" w:cs="Arial"/>
          <w:color w:val="000000"/>
          <w:kern w:val="2"/>
          <w:sz w:val="24"/>
          <w:szCs w:val="24"/>
          <w:lang w:val="cs-CZ" w:eastAsia="zh-CN" w:bidi="hi-IN"/>
        </w:rPr>
      </w:pPr>
      <w:r>
        <w:rPr>
          <w:rFonts w:eastAsia="Songti SC" w:cs="Arial" w:ascii="Helvetica Neue" w:hAnsi="Helvetica Neue"/>
          <w:color w:val="000000"/>
          <w:kern w:val="2"/>
          <w:sz w:val="24"/>
          <w:szCs w:val="24"/>
          <w:lang w:val="cs-CZ" w:eastAsia="zh-CN" w:bidi="hi-IN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3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120130" cy="635"/>
              <wp:effectExtent l="635" t="635" r="635" b="635"/>
              <wp:wrapNone/>
              <wp:docPr id="5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72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0.05pt" to="481.85pt,0.0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</w:t>
          </w:r>
          <w:r>
            <w:rPr>
              <w:rFonts w:eastAsia="Songti SC" w:cs="Arial Unicode MS" w:ascii="Helvetica Neue" w:hAnsi="Helvetica Neue"/>
              <w:color w:val="auto"/>
              <w:kern w:val="2"/>
              <w:sz w:val="24"/>
              <w:szCs w:val="24"/>
              <w:lang w:val="cs-CZ" w:eastAsia="zh-CN" w:bidi="hi-IN"/>
            </w:rPr>
            <w:t>říloha č. 12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0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1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69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Footer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Footer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Header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2.1.2024</w:t>
          </w:r>
        </w:p>
      </w:tc>
    </w:tr>
  </w:tbl>
  <w:p>
    <w:pPr>
      <w:pStyle w:val="Header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Header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1" allowOverlap="1" relativeHeight="2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120130" cy="635"/>
              <wp:effectExtent l="635" t="635" r="635" b="635"/>
              <wp:wrapNone/>
              <wp:docPr id="2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72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0.05pt" to="481.85pt,0.0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320675</wp:posOffset>
          </wp:positionH>
          <wp:positionV relativeFrom="paragraph">
            <wp:posOffset>784860</wp:posOffset>
          </wp:positionV>
          <wp:extent cx="5380355" cy="8315325"/>
          <wp:effectExtent l="0" t="0" r="0" b="0"/>
          <wp:wrapNone/>
          <wp:docPr id="3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</w:r>
  </w:p>
  <w:p>
    <w:pPr>
      <w:pStyle w:val="Header"/>
      <w:bidi w:val="0"/>
      <w:jc w:val="left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320040</wp:posOffset>
          </wp:positionH>
          <wp:positionV relativeFrom="paragraph">
            <wp:posOffset>786130</wp:posOffset>
          </wp:positionV>
          <wp:extent cx="5380355" cy="8315325"/>
          <wp:effectExtent l="0" t="0" r="0" b="0"/>
          <wp:wrapNone/>
          <wp:docPr id="4" name="Obrázek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Heading1">
    <w:name w:val="Heading 1"/>
    <w:basedOn w:val="Normal"/>
    <w:qFormat/>
    <w:pPr>
      <w:ind w:hanging="357" w:left="491"/>
      <w:outlineLvl w:val="0"/>
    </w:pPr>
    <w:rPr>
      <w:rFonts w:ascii="Arial" w:hAnsi="Arial" w:eastAsia="Arial" w:cs="Arial"/>
      <w:sz w:val="32"/>
      <w:szCs w:val="32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Zhlavazpat"/>
    <w:pPr>
      <w:suppressLineNumbers/>
    </w:pPr>
    <w:rPr/>
  </w:style>
  <w:style w:type="paragraph" w:styleId="Footer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hanging="0" w:left="636"/>
    </w:pPr>
    <w:rPr/>
  </w:style>
  <w:style w:type="paragraph" w:styleId="Body-dal">
    <w:name w:val="body - další"/>
    <w:basedOn w:val="ListParagraph"/>
    <w:qFormat/>
    <w:pPr>
      <w:widowControl/>
      <w:spacing w:lineRule="auto" w:line="276" w:before="0" w:after="120"/>
      <w:ind w:hanging="0" w:lef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296</TotalTime>
  <Application>LibreOffice/24.2.3.2$MacOSX_AARCH64 LibreOffice_project/433d9c2ded56988e8a90e6b2e771ee4e6a5ab2ba</Application>
  <AppVersion>15.0000</AppVersion>
  <Pages>1</Pages>
  <Words>171</Words>
  <Characters>1127</Characters>
  <CharactersWithSpaces>1258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2024-10-20T10:52:15Z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