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8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lang w:val="cs-CZ" w:eastAsia="zh-CN" w:bidi="hi-IN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Heading1"/>
        <w:tabs>
          <w:tab w:val="clear" w:pos="720"/>
          <w:tab w:val="left" w:pos="403" w:leader="none"/>
        </w:tabs>
        <w:spacing w:before="0" w:after="0"/>
        <w:ind w:hanging="0" w:left="134"/>
        <w:jc w:val="center"/>
        <w:rPr>
          <w:rFonts w:ascii="Helvetica Neue" w:hAnsi="Helvetica Neue" w:eastAsia="Songti SC" w:cs="Arial"/>
          <w:color w:val="000000"/>
          <w:kern w:val="2"/>
          <w:sz w:val="24"/>
          <w:szCs w:val="24"/>
          <w:highlight w:val="none"/>
          <w:shd w:fill="FFFF00" w:val="clear"/>
          <w:lang w:val="cs-CZ" w:eastAsia="zh-CN" w:bidi="hi-IN"/>
        </w:rPr>
      </w:pP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BodyText"/>
        <w:spacing w:before="2" w:after="0"/>
        <w:rPr>
          <w:rFonts w:ascii="Helvetica Neue" w:hAnsi="Helvetica Neue" w:cs="Arial"/>
          <w:sz w:val="16"/>
          <w:szCs w:val="16"/>
        </w:rPr>
      </w:pPr>
      <w:r>
        <w:rPr>
          <w:rFonts w:cs="Arial" w:ascii="Helvetica Neue" w:hAnsi="Helvetica Neue"/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Obecné principy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Tvorba cen v tomto dokumentu se řídí Pokyny pro velkoobchodní nabídku (příloha č. 11) a ceny jsou stanoveny jako maximální. V případě sjednání nižších cen se bude Sprintel řídit principy v kapitole I. Přílohy 11 a bude přistupovat ke všem zájemcům o přístup nediskriminačně. Sprintel je oprávněn nabídku nebo její části pravidelně aktualizovat, v takovém případě bude aktualizované nabídka uveřejněna na webu </w:t>
      </w:r>
      <w:hyperlink r:id="rId3">
        <w:r>
          <w:rPr>
            <w:rStyle w:val="Hyperlink"/>
            <w:rFonts w:eastAsia="Songti SC" w:cs="Arial Unicode MS" w:ascii="Helvetica Neue" w:hAnsi="Helvetica Neue"/>
            <w:color w:val="000000"/>
            <w:kern w:val="2"/>
            <w:sz w:val="24"/>
            <w:szCs w:val="24"/>
            <w:shd w:fill="auto" w:val="clear"/>
            <w:lang w:val="cs-CZ" w:eastAsia="zh-CN" w:bidi="hi-IN"/>
          </w:rPr>
          <w:t>www.sprintel.cz</w:t>
        </w:r>
      </w:hyperlink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kolokačních služeb (dle přílohy 3a)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kolokace poskytované v rámci povinné velkoobchodní nabídky jsou stanoveny jako nákladově orientované. Nákladově orientované ceny mohou zahrnovat jen efektivně a účelně vynaložené náklady spojené s pořízením a provozováním prvků infrastruktury, vč. technologické plochy, a přiměřený zisk, který se odvíjí od aktuálně platně ČTÚ stanovené hodnoty WACC. Kalkulace ceny nesmí být zatěžována nákladovými položkami, které nejsou objektivně nezbytné k poskytování výše uvedených služeb. Velkoobchodní ceny za služby kolokace nezahrnují přijatou dotační podporu, ale pouze vlastní (tj. nedotované) náklady vynaložené fi. Sprintel.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tbl>
      <w:tblPr>
        <w:tblW w:w="8960" w:type="dxa"/>
        <w:jc w:val="left"/>
        <w:tblInd w:w="2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406"/>
        <w:gridCol w:w="2553"/>
      </w:tblGrid>
      <w:tr>
        <w:trPr/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Koloka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ční služby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Navrhovaná měsíční cena bez DPH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950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600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10Gbit/s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1000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1U,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1440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2U,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1800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3U,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2160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4U,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2520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Prostor pro splitter v nerackov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ém rozvaděči (typicky ODF)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150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Úhrada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el. energie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dle štítku zařízení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Management port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č.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 za IP adresu</w:t>
            </w:r>
          </w:p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+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lus cena za port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Dal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ší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</w:t>
            </w:r>
            <w:r>
              <w:rPr>
                <w:rFonts w:ascii="Helvetica Neue" w:hAnsi="Helvetica Neue"/>
                <w:sz w:val="24"/>
                <w:szCs w:val="24"/>
              </w:rPr>
              <w:t xml:space="preserve"> K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 případě umisťování vlastního zařízení Partnera na ploše pronajaté Sprintel s.r.o., se stanoví cena jako podíl plochy zařízení Partnera na celkové využívané části pronajaté plochy násobený cenou pronajmu obvyklou v dané lokalitě a navýšenou o přiměřený zisk WACC a celkovou základní cenu služby 300 Kč/měs.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Požadavky na kolokační služby výše neuvedené, bude-li možné jim vyhovět, budou oceněny individuální kalkulací v souladu s Pokyny pro velkoobchodní nabídku (příloha č. 11.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III.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za zpřístupnění účastnického vedení (dle přílohy 3d) a jeho části,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za přístup k pasivní síti (del přílohy 3b)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a za přístup k vlnové délce (dle přílohy 3c)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a za služby zpřístupnění optického a kovového vedení poskytované v rámci povinné velkoobchodní nabídky jsou nákladově orientované. Nákladově orientovaných ceny mohou zahrnovat jen efektivně a účelně vynaložené náklady spojené s pořízením a provozováním prvků infrastruktury a přiměřený zisk, který se odvíjí od aktuálně platně ČTÚ stanovené hodnoty WACC. Kalkulace ceny nesmí být zatěžována nákladovými položkami, které nejsou objektivně nezbytné k poskytování výše uvedených služeb.</w:t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/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nezahrnují přijatou dotační podporu, ale pouze vlastní (tj. nedotované) náklady vynaložené příjemcem dotace. 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tbl>
      <w:tblPr>
        <w:tblW w:w="6406" w:type="dxa"/>
        <w:jc w:val="left"/>
        <w:tblInd w:w="4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47"/>
        <w:gridCol w:w="1958"/>
      </w:tblGrid>
      <w:tr>
        <w:trPr/>
        <w:tc>
          <w:tcPr>
            <w:tcW w:w="444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Aktivum</w:t>
            </w:r>
          </w:p>
        </w:tc>
        <w:tc>
          <w:tcPr>
            <w:tcW w:w="195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Životnost (roky)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Kabelovody,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ýkopy a chráničky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40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23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Rozvad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ěče a distribuční skříně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Sto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žáry a věže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15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BodyText"/>
        <w:spacing w:lineRule="auto" w:line="290" w:before="0" w:after="0"/>
        <w:ind w:hanging="0" w:left="136" w:right="135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Výše uvedeným způsobem byly ceny stanoveny následovně: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3"/>
        <w:gridCol w:w="2834"/>
      </w:tblGrid>
      <w:tr>
        <w:trPr/>
        <w:tc>
          <w:tcPr>
            <w:tcW w:w="6803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árodní intervenční o</w:t>
            </w: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 xml:space="preserve">blast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č. 15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6"/>
                <w:szCs w:val="26"/>
                <w:lang w:val="cs-CZ" w:eastAsia="zh-CN" w:bidi="hi-IN"/>
              </w:rPr>
              <w:t>projekt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</w:t>
            </w:r>
            <w:r>
              <w:rPr>
                <w:rFonts w:eastAsia="Songti SC" w:cs="Arial Unicode MS" w:ascii="Helvetica Neue" w:hAnsi="Helvetica Neue"/>
                <w:b w:val="false"/>
                <w:bCs/>
                <w:i w:val="false"/>
                <w:caps w:val="false"/>
                <w:smallCaps w:val="false"/>
                <w:color w:val="auto"/>
                <w:spacing w:val="0"/>
                <w:kern w:val="2"/>
                <w:sz w:val="26"/>
                <w:szCs w:val="26"/>
                <w:lang w:val="cs-CZ" w:eastAsia="zh-CN" w:bidi="hi-IN"/>
              </w:rPr>
              <w:t>CZ.31.1.0/0.0/0.0/22_011/0004148</w:t>
            </w:r>
          </w:p>
        </w:tc>
        <w:tc>
          <w:tcPr>
            <w:tcW w:w="2834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Cena bez DPH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Účastnické vedení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290 Kč + 2,06 Kč/m délky vlákna mezi CP a CO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Koncový úsek účastnického vedení do CP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290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Koncový úsek účastnického vedení v místě KÚP</w:t>
            </w:r>
          </w:p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>v 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řípadě adresních míst s více byty při připojení více než jednoho KÚP v budově. Optický i metalický.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25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  <w:shd w:fill="auto" w:val="clear"/>
              </w:rPr>
              <w:t>Nenasv</w:t>
            </w: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ícené optické vlákno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2,06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č/m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  <w:shd w:fill="auto" w:val="clear"/>
              </w:rPr>
              <w:t>Prostor v kabelové komoře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 xml:space="preserve"> pro um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ístění optické spojky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Individu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ální kalkulace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Kabelový rošt v podzemním kolektoru/kabelovodu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Otvor v kabelovodu po umístění trubky/mikrotrubičky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na stožáru nebo věži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Mezi cenami vlákna a účastnického vedení platí vztah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=C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Wingdings 2" w:cs="Wingdings 2" w:ascii="Wingdings 2" w:hAnsi="Wingdings 2"/>
          <w:b w:val="false"/>
          <w:bCs w:val="false"/>
          <w:color w:val="000000"/>
          <w:kern w:val="2"/>
          <w:position w:val="0"/>
          <w:sz w:val="24"/>
          <w:sz w:val="24"/>
          <w:szCs w:val="24"/>
          <w:shd w:fill="auto" w:val="clear"/>
          <w:vertAlign w:val="baseline"/>
          <w:lang w:val="cs-CZ" w:eastAsia="zh-CN" w:bidi="hi-IN"/>
        </w:rPr>
        <w:t>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, kdy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účastnického vedení,  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1m vlákna a  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průměrná délka vlákna účastnického vedení.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Rezervní chráničky a mikrotrubičky jsou instalovány za účelem řešení záložní trasy, vynucených překládek a jako rezerva pro budoucí rozšíření sítě. Jednání o možném přístupu k rezervním chráničkám je možné po úplném vyčerpání kapacity mikrotrubiček v předmětném úseku. Jednání o možném přístupu k rezervním mikrotrubičkám je možné po úplném vyčerpání kapacity nenasvícených vláken v předmětném úseku. Cena bude v takovém případě stanovená individuální kalkulací v souladu s Pokyny pro velkoobchodní nabídku (příloha 11). Síť je navržena při velkoobchodní zpřístupnění na úrovni optických vláken k čemuž má dostatečnou kapacitní rezervu.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ascii="Helvetica Neue" w:hAnsi="Helvetica Neue"/>
          <w:b/>
          <w:bCs/>
          <w:sz w:val="28"/>
          <w:szCs w:val="28"/>
          <w:shd w:fill="auto" w:val="clear"/>
        </w:rPr>
      </w:r>
      <w:r>
        <w:br w:type="page"/>
      </w:r>
    </w:p>
    <w:p>
      <w:pPr>
        <w:pStyle w:val="BodyText"/>
        <w:spacing w:lineRule="auto" w:line="290" w:before="0" w:after="0"/>
        <w:ind w:hanging="0" w:left="136" w:right="135"/>
        <w:jc w:val="center"/>
        <w:rPr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služby VULA (dle přílohy 3e)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Jelikož je Sprintel vertikálně integrovaným operátorem, stanovuje v souladu s Pokyny pro vypracování velkoobchodní nabídky (příloha č. 11) maximální cenu za služba VULA metodou </w:t>
      </w:r>
      <w:r>
        <w:rPr>
          <w:rFonts w:eastAsia="Songti SC" w:cs="Arial Unicode MS" w:ascii="Helvetica Neue" w:hAnsi="Helvetica Neue"/>
          <w:b w:val="false"/>
          <w:bCs w:val="false"/>
          <w:i/>
          <w:iCs/>
          <w:color w:val="000000"/>
          <w:kern w:val="2"/>
          <w:sz w:val="24"/>
          <w:szCs w:val="24"/>
          <w:shd w:fill="auto" w:val="clear"/>
          <w:lang w:val="cs-CZ" w:eastAsia="zh-CN" w:bidi="hi-IN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, přičemž velikost marže stanoví ŘO v součinnosti s ČTÚ. Metoda </w:t>
      </w:r>
      <w:r>
        <w:rPr>
          <w:rFonts w:ascii="Helvetica Neue" w:hAnsi="Helvetica Neue"/>
          <w:i/>
          <w:iCs/>
          <w:sz w:val="24"/>
          <w:szCs w:val="24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 se aplikuje na základní (nejlevnější) maloobchodní produkt přístupu k síti Internet. 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 xml:space="preserve">Cena velkoobchodní služby VULA se stanoví podle vzorce: 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strike w:val="false"/>
          <w:dstrike w:val="false"/>
          <w:u w:val="none"/>
        </w:rPr>
      </w:pPr>
      <w:r>
        <w:rPr>
          <w:strike w:val="false"/>
          <w:dstrike w:val="false"/>
          <w:u w:val="none"/>
        </w:rPr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8045" cy="1614170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>P</w:t>
      </w: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 xml:space="preserve">ři stanovení ceny se vždy vyjde z aktuální platné nabídky na adrese </w:t>
      </w:r>
      <w:hyperlink r:id="rId5">
        <w:r>
          <w:rPr>
            <w:rStyle w:val="Hyperlink"/>
            <w:rFonts w:eastAsia="Songti SC" w:cs="Arial Unicode MS" w:ascii="Helvetica Neue" w:hAnsi="Helvetica Neue"/>
            <w:strike w:val="false"/>
            <w:dstrike w:val="false"/>
            <w:color w:val="auto"/>
            <w:kern w:val="2"/>
            <w:sz w:val="24"/>
            <w:szCs w:val="24"/>
            <w:u w:val="none"/>
            <w:lang w:val="cs-CZ" w:eastAsia="zh-CN" w:bidi="hi-IN"/>
          </w:rPr>
          <w:t>http://www.sprintel.cz/sprintel-cz/internet/opticke-pripojeni/tarify-pro-jednotlivce/</w:t>
        </w:r>
      </w:hyperlink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.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Ta v době zveřejnění této VO nabídky (nabídka platná od 1.1.2023) je: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pPr>
      <w:r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r>
    </w:p>
    <w:tbl>
      <w:tblPr>
        <w:tblW w:w="9013" w:type="dxa"/>
        <w:jc w:val="left"/>
        <w:tblInd w:w="2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71"/>
        <w:gridCol w:w="2407"/>
        <w:gridCol w:w="2409"/>
        <w:gridCol w:w="2025"/>
      </w:tblGrid>
      <w:tr>
        <w:trPr/>
        <w:tc>
          <w:tcPr>
            <w:tcW w:w="2171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Tarif</w:t>
            </w:r>
          </w:p>
        </w:tc>
        <w:tc>
          <w:tcPr>
            <w:tcW w:w="2407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Cena 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(vč. DPH)</w:t>
            </w:r>
          </w:p>
        </w:tc>
        <w:tc>
          <w:tcPr>
            <w:tcW w:w="4434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Maxim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ální </w:t>
            </w:r>
            <w:r>
              <w:rPr>
                <w:rFonts w:ascii="Helvetica Neue" w:hAnsi="Helvetica Neue"/>
                <w:b/>
                <w:bCs/>
              </w:rPr>
              <w:t>rychlost</w:t>
            </w:r>
          </w:p>
        </w:tc>
      </w:tr>
      <w:tr>
        <w:trPr/>
        <w:tc>
          <w:tcPr>
            <w:tcW w:w="2171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</w:r>
          </w:p>
        </w:tc>
        <w:tc>
          <w:tcPr>
            <w:tcW w:w="2407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Download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Upload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160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420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suppressAutoHyphens w:val="true"/>
              <w:bidi w:val="0"/>
              <w:spacing w:before="0" w:after="0"/>
              <w:jc w:val="left"/>
              <w:rPr>
                <w:rFonts w:ascii="Helvetica Neue" w:hAnsi="Helvetica Neue" w:eastAsia="Songti SC" w:cs="Arial Unicode MS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Optik 160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suppressAutoHyphens w:val="true"/>
              <w:bidi w:val="0"/>
              <w:spacing w:before="0" w:after="0"/>
              <w:jc w:val="center"/>
              <w:rPr>
                <w:rFonts w:ascii="Helvetica Neue" w:hAnsi="Helvetica Neue" w:eastAsia="Songti SC" w:cs="Arial Unicode MS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450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Kč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250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250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300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 xml:space="preserve">Optik </w:t>
            </w:r>
            <w:r>
              <w:rPr>
                <w:rFonts w:ascii="Helvetica Neue" w:hAnsi="Helvetica Neue"/>
                <w:b/>
                <w:bCs/>
              </w:rPr>
              <w:t>6</w:t>
            </w:r>
            <w:r>
              <w:rPr>
                <w:rFonts w:ascii="Helvetica Neue" w:hAnsi="Helvetica Neue"/>
                <w:b/>
                <w:bCs/>
              </w:rPr>
              <w:t>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550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1G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690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1000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</w:tbl>
    <w:p>
      <w:pPr>
        <w:pStyle w:val="Normal"/>
        <w:spacing w:lineRule="auto" w:line="290" w:before="1" w:after="0"/>
        <w:ind w:hanging="0" w:right="135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služby Bitstream (dle přílohy 3f)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Příjemce dotace stanoví velkoobchodní ceny za služby datového toku (bitstreamu) navýšením ceny za své službu VULA (viz kap. IV. 8.1 nebo IV. 8.2) o náklady související s poskytnutím přenosové kapacity do povinného předávacího bodu a přiměřený zisk, který se odvíjí od aktuálně platn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</w:t>
      </w: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 xml:space="preserve"> ČTÚ stanovené hodnoty WACC. V případě poskytování přístupu datovému toku na Central Office (náhrada za VULA v bezdrátových sítích) se velkoobchodní cena stanoví podle podmínek stanovení ceny VULA v kap. IV. 8.1 a IV. 8.2. Stanoven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 konkrétních cen podléhá individuální kalkulaci.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 w:eastAsia="Songti SC" w:cs="Arial Unicode MS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Relace mezi maloobchodními cenami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vertikálně integrovaného operátora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Struktura maloobchodních služeb je dána rozhodnutím Sprintel. Maloobchodní ceny balíčků služeb jsou stanoveny tak, aby doplňkové služby k službě přístupu k síti Internetu nebyly nabízeny na dotované síti za méně, než jsou dodatečné náklady na jejich poskytování. Doplňkovou službou se rozumí jakákoliv služba nabízená v balíčku služeb, kromě služby přístupu k síti Internet. Výše uvedenou podmínku lze vyjádřit tímto vztahem: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/>
        <w:drawing>
          <wp:inline distT="0" distB="0" distL="0" distR="0">
            <wp:extent cx="4676140" cy="1681480"/>
            <wp:effectExtent l="0" t="0" r="0" b="0"/>
            <wp:docPr id="3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Velkoobchodní jednorázové ceny za aktivaci služeb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jednorázové ceny za aktivaci služeb zahrnují náklady, vč. přiměřeného zisku, který se odvíjí od aktuálně platné ČTÚ stanovené hodnoty WACC, na nezbytně nutné procesy pro zřízení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 w:eastAsia="Songti SC" w:cs="Arial Unicode MS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 w:ascii="Helvetica Neue" w:hAnsi="Helvetica Neue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968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72"/>
        <w:gridCol w:w="1832"/>
        <w:gridCol w:w="1584"/>
      </w:tblGrid>
      <w:tr>
        <w:trPr/>
        <w:tc>
          <w:tcPr>
            <w:tcW w:w="627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Velkoobchodní jednorázové ceny za aktivaci</w:t>
            </w:r>
          </w:p>
        </w:tc>
        <w:tc>
          <w:tcPr>
            <w:tcW w:w="183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Cena bez DPH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(jednor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ázově)</w:t>
            </w:r>
          </w:p>
        </w:tc>
        <w:tc>
          <w:tcPr>
            <w:tcW w:w="158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Jednotka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(prům. doba)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řijetí objednávky, komunikace uvnitř firmy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242,42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(20 min.)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ěření poptávky v databázi, zpracování v systému, management poptávky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Udr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žovací poplatek za systémovou správu služby a zařízení v koncovém bodě sítě (koncové zařízení, pronájem účastnického vedení apod.)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3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ěsíc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Vyhodnocen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plánu služeb, konzultace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Technick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é šetření základní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Konfigurace GPON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0-15 km, jeden technik 15 min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446,28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15 -30 km, jeden technik 30 min.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892,56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Měření spojen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 xml:space="preserve">í do 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koncového bodu s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ítě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, testovací měření</w:t>
            </w:r>
          </w:p>
        </w:tc>
        <w:tc>
          <w:tcPr>
            <w:tcW w:w="1832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1200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Ceny za služby, práce a úkony v tabulce neuvedené se řídí platným ceníkem fi. Sprintel.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lang w:val="cs-CZ" w:eastAsia="zh-CN" w:bidi="hi-IN"/>
        </w:rPr>
        <w:t xml:space="preserve">Dále je nabízena volitelná služba, monitorování neomezeného počtu KZÚP v systému a dohledovém centru Sprintel. Služba zahrnuje odstraňování poruch v rozsahu 30 min. na jednoho KZÚP bez výjezdu technika a rozšířenou podporu procesů. Cena této služby  je 5500.- Kč bez DPH měsíčně.  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16"/>
          <w:szCs w:val="16"/>
          <w:lang w:val="cs-CZ" w:eastAsia="zh-CN" w:bidi="hi-IN"/>
        </w:rPr>
      </w:r>
    </w:p>
    <w:sectPr>
      <w:headerReference w:type="even" r:id="rId7"/>
      <w:headerReference w:type="default" r:id="rId8"/>
      <w:headerReference w:type="first" r:id="rId9"/>
      <w:footerReference w:type="even" r:id="rId10"/>
      <w:footerReference w:type="default" r:id="rId11"/>
      <w:footerReference w:type="first" r:id="rId12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Helvetica Neue">
    <w:charset w:val="01"/>
    <w:family w:val="roman"/>
    <w:pitch w:val="variable"/>
  </w:font>
  <w:font w:name="Wingdings 2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1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6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8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21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4" name="Obrázek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8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ongti SC" w:cs="Arial Unicode MS"/>
      <w:color w:val="000000"/>
      <w:kern w:val="2"/>
      <w:sz w:val="24"/>
      <w:szCs w:val="24"/>
      <w:lang w:val="cs-CZ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sprintel.cz/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www.sprintel.cz/sprintel-cz/internet/opticke-pripojeni/tarify-pro-jednotlivce/" TargetMode="Externa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6774</TotalTime>
  <Application>LibreOffice/24.2.3.2$MacOSX_AARCH64 LibreOffice_project/433d9c2ded56988e8a90e6b2e771ee4e6a5ab2ba</Application>
  <AppVersion>15.0000</AppVersion>
  <Pages>7</Pages>
  <Words>1308</Words>
  <Characters>7646</Characters>
  <CharactersWithSpaces>8806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2022-04-14T13:44:00Z</dcterms:created>
  <dc:creator>Petržílka OISF</dc:creator>
  <dc:description/>
  <dc:language>cs-CZ</dc:language>
  <cp:lastModifiedBy>Petr Kapounek</cp:lastModifiedBy>
  <dcterms:modified xsi:type="dcterms:W3CDTF">2025-01-23T09:44:16Z</dcterms:modified>
  <cp:revision>300</cp:revision>
  <dc:subject>I. Výzva NPO - Digitální vysokokapacitní sítě</dc:subject>
  <dc:title>Příloha 7 - Pokyny k velkoobchodní nabídce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