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3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4"/>
        <w:gridCol w:w="5910"/>
      </w:tblGrid>
      <w:tr>
        <w:trPr/>
        <w:tc>
          <w:tcPr>
            <w:tcW w:w="3734" w:type="dxa"/>
            <w:tcBorders/>
            <w:vAlign w:val="center"/>
          </w:tcPr>
          <w:p>
            <w:pPr>
              <w:pStyle w:val="Obsahtabulky"/>
              <w:widowControl w:val="false"/>
              <w:rPr/>
            </w:pPr>
            <w:r>
              <w:rPr/>
              <w:drawing>
                <wp:inline distT="0" distB="0" distL="0" distR="0">
                  <wp:extent cx="2300605" cy="1056640"/>
                  <wp:effectExtent l="0" t="0" r="0" b="0"/>
                  <wp:docPr id="1" name="Obrázek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605" cy="1056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0" w:type="dxa"/>
            <w:tcBorders/>
          </w:tcPr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sz w:val="36"/>
                <w:szCs w:val="36"/>
              </w:rPr>
            </w:pPr>
            <w:r>
              <w:rPr>
                <w:rFonts w:ascii="Helvetica Neue" w:hAnsi="Helvetica Neue"/>
                <w:sz w:val="36"/>
                <w:szCs w:val="36"/>
              </w:rPr>
              <w:t xml:space="preserve">Referenční velkoobchodní nabídka 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přístupu na sítích VHCN budovaných s využitím dotačních programů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/>
            </w:pPr>
            <w:r>
              <w:rPr>
                <w:rFonts w:ascii="Helvetica Neue" w:hAnsi="Helvetica Neue"/>
                <w:sz w:val="40"/>
                <w:szCs w:val="40"/>
              </w:rPr>
              <w:t>„</w:t>
            </w:r>
            <w:r>
              <w:rPr>
                <w:rFonts w:ascii="Helvetica Neue" w:hAnsi="Helvetica Neue"/>
                <w:sz w:val="40"/>
                <w:szCs w:val="40"/>
              </w:rPr>
              <w:t>Digitální vysokokapacitní sítě“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/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32"/>
                <w:szCs w:val="32"/>
                <w:lang w:val="cs-CZ" w:eastAsia="zh-CN" w:bidi="hi-IN"/>
              </w:rPr>
              <w:t>příloha č. 3b - Zpřístupnění pasivní infrastruktury – nenasvícených optických vláken, rezervních optických chrániček a mikrotrubiček</w:t>
            </w:r>
          </w:p>
        </w:tc>
      </w:tr>
    </w:tbl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tabs>
          <w:tab w:val="clear" w:pos="720"/>
          <w:tab w:val="left" w:pos="403" w:leader="none"/>
        </w:tabs>
        <w:spacing w:before="89" w:after="0"/>
        <w:ind w:hanging="0" w:left="134"/>
        <w:jc w:val="center"/>
        <w:rPr/>
      </w:pPr>
      <w:r>
        <w:rPr>
          <w:rFonts w:ascii="Helvetica Neue" w:hAnsi="Helvetica Neue"/>
        </w:rPr>
        <w:t>Zpřístupnění pasivn</w:t>
      </w:r>
      <w:r>
        <w:rPr>
          <w:rFonts w:eastAsia="Arial" w:cs="Arial" w:ascii="Helvetica Neue" w:hAnsi="Helvetica Neue"/>
          <w:color w:val="auto"/>
          <w:kern w:val="2"/>
          <w:sz w:val="32"/>
          <w:szCs w:val="32"/>
          <w:lang w:val="cs-CZ" w:eastAsia="zh-CN" w:bidi="hi-IN"/>
        </w:rPr>
        <w:t>í</w:t>
      </w:r>
      <w:r>
        <w:rPr>
          <w:rFonts w:ascii="Helvetica Neue" w:hAnsi="Helvetica Neue"/>
        </w:rPr>
        <w:t xml:space="preserve"> infrastruktury – nenasvícených optických vláken, rezervních optických chrániček, mikrotrubiček a sto</w:t>
      </w:r>
      <w:r>
        <w:rPr>
          <w:rFonts w:eastAsia="Arial" w:cs="Arial" w:ascii="Helvetica Neue" w:hAnsi="Helvetica Neue"/>
          <w:color w:val="auto"/>
          <w:kern w:val="2"/>
          <w:sz w:val="32"/>
          <w:szCs w:val="32"/>
          <w:lang w:val="cs-CZ" w:eastAsia="zh-CN" w:bidi="hi-IN"/>
        </w:rPr>
        <w:t>žárů</w:t>
      </w:r>
    </w:p>
    <w:p>
      <w:pPr>
        <w:pStyle w:val="Heading1"/>
        <w:tabs>
          <w:tab w:val="clear" w:pos="720"/>
          <w:tab w:val="left" w:pos="403" w:leader="none"/>
        </w:tabs>
        <w:spacing w:before="89" w:after="0"/>
        <w:ind w:hanging="0" w:left="134"/>
        <w:jc w:val="center"/>
        <w:rPr/>
      </w:pPr>
      <w:r>
        <w:rPr>
          <w:rFonts w:ascii="Helvetica Neue" w:hAnsi="Helvetica Neue"/>
        </w:rPr>
        <w:t>Technická specifikace a specifikace služby</w:t>
      </w:r>
    </w:p>
    <w:p>
      <w:pPr>
        <w:pStyle w:val="BodyText"/>
        <w:spacing w:before="2" w:after="0"/>
        <w:rPr>
          <w:rFonts w:ascii="Helvetica Neue" w:hAnsi="Helvetica Neue" w:cs="Arial"/>
          <w:sz w:val="24"/>
          <w:szCs w:val="24"/>
        </w:rPr>
      </w:pPr>
      <w:r>
        <w:rPr>
          <w:rFonts w:cs="Arial" w:ascii="Helvetica Neue" w:hAnsi="Helvetica Neue"/>
          <w:sz w:val="24"/>
          <w:szCs w:val="24"/>
        </w:rPr>
      </w:r>
    </w:p>
    <w:tbl>
      <w:tblPr>
        <w:tblW w:w="9300" w:type="dxa"/>
        <w:jc w:val="left"/>
        <w:tblInd w:w="12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94"/>
        <w:gridCol w:w="4605"/>
      </w:tblGrid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 xml:space="preserve">Služba 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č.</w:t>
            </w:r>
            <w:r>
              <w:rPr>
                <w:rFonts w:ascii="Helvetica Neue" w:hAnsi="Helvetica Neue"/>
                <w:sz w:val="26"/>
                <w:szCs w:val="26"/>
              </w:rPr>
              <w:t xml:space="preserve"> : 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Partner – jm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éno/název: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 xml:space="preserve">Partner – ID: 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Obec: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Žádost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šetření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implementace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Zprovozn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ění služby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zkušebního provozu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Ukon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čení zkušebního provozu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ředání služby Partnerovi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Ukon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čení služby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</w:tbl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20"/>
          <w:szCs w:val="20"/>
          <w:highlight w:val="none"/>
          <w:shd w:fill="auto" w:val="clear"/>
        </w:rPr>
      </w:pPr>
      <w:r>
        <w:rPr>
          <w:rFonts w:ascii="Helvetica Neue" w:hAnsi="Helvetica Neue"/>
          <w:sz w:val="20"/>
          <w:szCs w:val="20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 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Služba zpřístupnění a užívání pasivní infrastruktury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ascii="Helvetica Neue" w:hAnsi="Helvetica Neue"/>
          <w:shd w:fill="auto" w:val="clear"/>
        </w:rPr>
        <w:t>Dotovan</w:t>
      </w: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á síť je již ve svém návrhu dimenzována pro zpřístupnění na úrovni nenasvícených optických vláken. K tomuto účelu má dostatečnou vláknovou rezervu. Poskytnutí přístupu k rezervním chráničkách či mikrotrubičkám - tyto jsou určeny pro budoucí rozvoj sítě, řešení havárií či řešení vynucených přeložek – je možný pouze v případě vyčerpání kapacity vláken po předchozím posouzení a individuální kalkulaci. Sprintel prohlašuje, že je vlastníkem nebo oprávněným uživatelem pasivní infrastruktury pasivní infrastruktury ve smyslu čl. 2 odst. 137 GBER, jejíž části si Partner hodlá pronajmout v rámci Smlouvy a které tato příloha specifikuje. Dostupnost konkrétních prvků je podmíněna jejich existencí a dostupností v konkrétním místě sítě.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Za podmínek stanovených Smlouvou a jejími přílohami tímto Sprintel uděluje Partnerovi právo k užívání pasivní infrastruktury specifikované v této příloze.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7"/>
        <w:gridCol w:w="6629"/>
        <w:gridCol w:w="1252"/>
        <w:gridCol w:w="1359"/>
      </w:tblGrid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662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Nenasv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ícené optické vlákno</w:t>
            </w:r>
          </w:p>
        </w:tc>
        <w:tc>
          <w:tcPr>
            <w:tcW w:w="1252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135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662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LGX pozice</w:t>
            </w:r>
            <w:r>
              <w:rPr>
                <w:rFonts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2"/>
                <w:szCs w:val="22"/>
              </w:rPr>
              <w:t>v rozvad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2"/>
                <w:szCs w:val="22"/>
                <w:lang w:val="cs-CZ" w:eastAsia="zh-CN" w:bidi="hi-IN"/>
              </w:rPr>
              <w:t xml:space="preserve">ěči </w:t>
            </w:r>
            <w:r>
              <w:rPr>
                <w:rFonts w:ascii="Helvetica Neue" w:hAnsi="Helvetica Neue"/>
                <w:sz w:val="22"/>
                <w:szCs w:val="22"/>
              </w:rPr>
              <w:t>pro um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2"/>
                <w:szCs w:val="22"/>
                <w:lang w:val="cs-CZ" w:eastAsia="zh-CN" w:bidi="hi-IN"/>
              </w:rPr>
              <w:t>ístění splitterů</w:t>
            </w:r>
          </w:p>
        </w:tc>
        <w:tc>
          <w:tcPr>
            <w:tcW w:w="1252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135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662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Prostor v kabelové komoře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 xml:space="preserve"> 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2"/>
                <w:szCs w:val="22"/>
                <w:lang w:val="cs-CZ" w:eastAsia="zh-CN" w:bidi="hi-IN"/>
              </w:rPr>
              <w:t>k umístění optické spojky</w:t>
            </w:r>
          </w:p>
          <w:p>
            <w:pPr>
              <w:pStyle w:val="Obsahtabulky"/>
              <w:widowControl w:val="false"/>
              <w:spacing w:before="57" w:after="57"/>
              <w:rPr>
                <w:sz w:val="22"/>
                <w:szCs w:val="22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2"/>
                <w:szCs w:val="22"/>
                <w:lang w:val="cs-CZ" w:eastAsia="zh-CN" w:bidi="hi-IN"/>
              </w:rPr>
              <w:t>Přístup pouze po posouzení přiměřenosti velikosti spojky s ohledem na dostupný prostor v komoře.</w:t>
            </w:r>
          </w:p>
        </w:tc>
        <w:tc>
          <w:tcPr>
            <w:tcW w:w="1252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135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662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HDPE trubka k um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ístění trubičkového systému</w:t>
            </w:r>
          </w:p>
          <w:p>
            <w:pPr>
              <w:pStyle w:val="Obsahtabulky"/>
              <w:widowControl w:val="false"/>
              <w:spacing w:before="57" w:after="57"/>
              <w:rPr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>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2"/>
                <w:szCs w:val="22"/>
                <w:lang w:val="cs-CZ" w:eastAsia="zh-CN" w:bidi="hi-IN"/>
              </w:rPr>
              <w:t>řístup pouze na základě individuálního posouzení a kalkulace po vyčerpání kapacity vláken.</w:t>
            </w:r>
          </w:p>
        </w:tc>
        <w:tc>
          <w:tcPr>
            <w:tcW w:w="1252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135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E</w:t>
            </w:r>
          </w:p>
        </w:tc>
        <w:tc>
          <w:tcPr>
            <w:tcW w:w="662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HDPE trubi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čka</w:t>
            </w:r>
          </w:p>
          <w:p>
            <w:pPr>
              <w:pStyle w:val="Obsahtabulky"/>
              <w:widowControl w:val="false"/>
              <w:spacing w:before="57" w:after="57"/>
              <w:rPr>
                <w:sz w:val="22"/>
                <w:szCs w:val="22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2"/>
                <w:szCs w:val="22"/>
                <w:lang w:val="cs-CZ" w:eastAsia="zh-CN" w:bidi="hi-IN"/>
              </w:rPr>
              <w:t>Přístup pouze na základě individuálního posouzení a kalkulace po vyčerpání kapacity vláken a trubiček.</w:t>
            </w:r>
          </w:p>
        </w:tc>
        <w:tc>
          <w:tcPr>
            <w:tcW w:w="1252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135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F</w:t>
            </w:r>
          </w:p>
        </w:tc>
        <w:tc>
          <w:tcPr>
            <w:tcW w:w="662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Kabelov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ý rošt v podzemním kolektoru/kabelovodu</w:t>
            </w:r>
          </w:p>
          <w:p>
            <w:pPr>
              <w:pStyle w:val="Obsahtabulky"/>
              <w:widowControl w:val="false"/>
              <w:spacing w:before="57" w:after="57"/>
              <w:rPr>
                <w:sz w:val="22"/>
                <w:szCs w:val="22"/>
              </w:rPr>
            </w:pP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2"/>
                <w:szCs w:val="22"/>
                <w:lang w:val="cs-CZ" w:eastAsia="zh-CN" w:bidi="hi-IN"/>
              </w:rPr>
              <w:t>mezi kabelovými komorami kolektoru/kabelovodu nebo stávající sítí Sprintel.</w:t>
            </w:r>
          </w:p>
          <w:p>
            <w:pPr>
              <w:pStyle w:val="Obsahtabulky"/>
              <w:widowControl w:val="false"/>
              <w:spacing w:before="57" w:after="57"/>
              <w:rPr>
                <w:sz w:val="22"/>
                <w:szCs w:val="22"/>
              </w:rPr>
            </w:pP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2"/>
                <w:szCs w:val="22"/>
                <w:lang w:val="cs-CZ" w:eastAsia="zh-CN" w:bidi="hi-IN"/>
              </w:rPr>
              <w:t>Přístup pouze na základě individuálního posouzení a kalkulace po vyčerpání kapacity ostatních prvků.</w:t>
            </w:r>
          </w:p>
        </w:tc>
        <w:tc>
          <w:tcPr>
            <w:tcW w:w="1252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135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G</w:t>
            </w:r>
          </w:p>
        </w:tc>
        <w:tc>
          <w:tcPr>
            <w:tcW w:w="662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b w:val="false"/>
                <w:bCs w:val="false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Otvor v kabelovodu po um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ístění trubky/mikrotrubičky</w:t>
            </w:r>
          </w:p>
          <w:p>
            <w:pPr>
              <w:pStyle w:val="Obsahtabulky"/>
              <w:widowControl w:val="false"/>
              <w:spacing w:before="57" w:after="57"/>
              <w:rPr>
                <w:sz w:val="22"/>
                <w:szCs w:val="22"/>
              </w:rPr>
            </w:pP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2"/>
                <w:szCs w:val="22"/>
                <w:lang w:val="cs-CZ" w:eastAsia="zh-CN" w:bidi="hi-IN"/>
              </w:rPr>
              <w:t>Přístup pouze na základě individuálního posouzení a kalkulace po vyčerpání kapacity ostatních prvků.</w:t>
            </w:r>
          </w:p>
        </w:tc>
        <w:tc>
          <w:tcPr>
            <w:tcW w:w="1252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135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H</w:t>
            </w:r>
          </w:p>
        </w:tc>
        <w:tc>
          <w:tcPr>
            <w:tcW w:w="662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Prostor na sto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žáru nebo věži</w:t>
            </w:r>
          </w:p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 w:val="false"/>
                <w:bCs w:val="false"/>
                <w:sz w:val="22"/>
                <w:szCs w:val="22"/>
              </w:rPr>
            </w:pP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</w:rPr>
              <w:t>formou um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2"/>
                <w:szCs w:val="22"/>
                <w:lang w:val="cs-CZ" w:eastAsia="zh-CN" w:bidi="hi-IN"/>
              </w:rPr>
              <w:t>ístění zařízení partnera po poskytování služeb el. komunikací a to i za účelem budování vlastní sítě pro poskytování veřejně dostupných služeb elektronických komunikací účastníkům na adresních místech dle přílohy č. 1.</w:t>
            </w:r>
          </w:p>
        </w:tc>
        <w:tc>
          <w:tcPr>
            <w:tcW w:w="1252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135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</w:tbl>
    <w:p>
      <w:pPr>
        <w:pStyle w:val="BodyText"/>
        <w:spacing w:lineRule="auto" w:line="290" w:before="1" w:after="0"/>
        <w:ind w:hanging="0" w:left="136" w:right="135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Článek II.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 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Místo přístupu k pasivní infrastruktuře a účel užívání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Příloha č. 2 – Schéma sítě, seznam jejích částí a pokrytých základních sídelních jednotek popisuje a specifikuje místa určené k přístupu s ohledem na dlouhodobou udržitelnost, udržovatelnost a zachování dlouhodobé kvality a možnosti budoucího rozvoje  zpřístupňované infrastruktury. Přístup je tedy možný za podmínek specifikovaných touto smlouvou v rozvaděčích tvořících koncentrační bod (CP), v aktivních uzlech (PoP), datacentrech (DC) a po předchozím posouzení v kabelových komorách. V případech, kdy se jedná o venkovní prvky (rozvaděče CP, komory apod.) je přístup podmíněn také získáním potřebného povolení k realizaci napojení infrastruktury Partnera, pokud ta se v daném prvku (rozvaděč, komora apod.) dosud nenachází.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Článek III.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 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Kvalita služby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Sprintel se zavazuje p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ři poskytování služby dodržovat kvalitativní parametry Pasivní infrastruktury stanovené v příloze č. 4 – Minimální soubor SLA.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 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Údržba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Po celou dobu u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žívání je Sprintel povinen udržovat zpřístupněnou pasivní infrastrukturu v plně funkčním stavu odpovídajícím Specifikacím a umožňujícím její nepřetržitý provoz. Při technických a servisních zásazích, údržbě a měření se postupuje dle přílohy č. 5 – Postupy a pravidla pro jednotlivé služby.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Článek V.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  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Ostatní ujednání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Sprintel se zavazuje poskytnout v přiměřeném rozsahu Partnerovi optické vlákno, optická vlákna, HDPE mikrotrubičky či HDPE trubky na vlastní infrastruktuře vybudované bez využití dotací, za předpokladu, že je k dispozici volná kapacita a nejde o strategickou rezervu (v případě HDPE trubek a mikrotrubiček), přičemž přednostně je poskytováno optické vlákno, a to vše pouze za účelem propojení Partnera do Dotované sítě. Minimální rozsah takto přístupné nedotované infrastruktury je vyznačen v příloze č. 2. Využití jiných úseků infrastruktury, místo a způsob jejich napojení je předmětem posouzení dle konkrétních požadavků Partnera. Sprintel umožní Partnerovi i přístup pouze k přípojné síti (backhaul) – formou přístupu k pasivní síti – je-li dostupná kapacita povinných rezerv a to pouze za účelem poskytování služeb elektronických komunikací na adresách dle přílohy 1.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Sprintel se zavazuje poskytnout Partnerovi kolokační služby v bodech vyznačených v příloze č. 2 a to v rozsahu a míře odpovídající oprávněným potřebám partnera a charakteru a technické vybavenosti jednotlivých PoPů. Přístup k takto umístěným prvkům se řídí přílohou č. 5. V případě, kdy kapacita zázemí současného uzlu nestačila, Partner má možnost, v případě, kdy si uzavře vlastní nájemní smlouvu s vlastníkem objektu, realizovat propojení do PoPu Sprintel a Sprintel mu toto umožní. 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V případě nových věží a stožárů zřízených s využitím poskytnuté dotace umisťuje Sprintel svá zařízení efektivně s ohledem na potřebu poskytnutí možnosti využití další plochy k pronájmu zařízení Partnera a nebude umístění zařízení Partnera účelově bránit.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Článek VII.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 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Závazek převzetí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Nejpozd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ěji do 5ti dnů od ukončení úspěšného zkušebního provozu v řádném stavu a bez závad a současně ve lhůtách, které určuje Smlouva a její přílohy, Partner převezme službu a převzetí stvrdí podpisem této přílohy.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Článek VII.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 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Specifikace předmětu užívání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1) Um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ístění (Adresy, GPS)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ascii="Helvetica Neue" w:hAnsi="Helvetica Neue"/>
        </w:rPr>
        <w:t>2) Specifikace za</w:t>
      </w: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řízení a rozhraní, technická pravidla a podmínky pro přístup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3) Síťová hierarchie přístupu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4) Podmínky kolokace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0"/>
          <w:szCs w:val="20"/>
          <w:u w:val="double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0"/>
          <w:szCs w:val="20"/>
          <w:u w:val="double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5) Zákres trasy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eastAsia="Songti SC" w:cs="Arial Unicode MS"/>
          <w:color w:val="auto"/>
          <w:kern w:val="2"/>
          <w:sz w:val="20"/>
          <w:szCs w:val="20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0"/>
          <w:szCs w:val="20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6) Délka trasy: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 w:eastAsia="Songti SC" w:cs="Arial Unicode MS"/>
          <w:color w:val="auto"/>
          <w:kern w:val="2"/>
          <w:sz w:val="12"/>
          <w:szCs w:val="12"/>
          <w:lang w:val="cs-CZ" w:eastAsia="zh-CN" w:bidi="hi-IN"/>
        </w:rPr>
      </w:pPr>
      <w:r>
        <w:rPr>
          <w:rFonts w:eastAsia="Songti SC" w:cs="Arial Unicode MS" w:ascii="Helvetica Neue" w:hAnsi="Helvetica Neue"/>
          <w:color w:val="auto"/>
          <w:kern w:val="2"/>
          <w:sz w:val="12"/>
          <w:szCs w:val="12"/>
          <w:lang w:val="cs-CZ" w:eastAsia="zh-CN" w:bidi="hi-IN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Trasu 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ředal dne:</w:t>
            </w:r>
          </w:p>
          <w:p>
            <w:pPr>
              <w:pStyle w:val="Obsahtabulky"/>
              <w:widowControl w:val="false"/>
              <w:rPr>
                <w:rFonts w:ascii="Helvetica Neue" w:hAnsi="Helvetica Neue"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ascii="Helvetica Neue" w:hAnsi="Helvetica Neue"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ascii="Helvetica Neue" w:hAnsi="Helvetica Neue"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Trasu 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řevzal dne: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Sprintel s.r.o.</w:t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Partnera</w:t>
            </w:r>
          </w:p>
        </w:tc>
      </w:tr>
    </w:tbl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sz w:val="8"/>
          <w:szCs w:val="8"/>
        </w:rPr>
      </w:pPr>
      <w:r>
        <w:rPr>
          <w:rFonts w:ascii="Helvetica Neue" w:hAnsi="Helvetica Neue"/>
          <w:sz w:val="8"/>
          <w:szCs w:val="8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4" w:right="1134" w:gutter="0" w:header="567" w:top="1340" w:footer="567" w:bottom="1799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 Neue">
    <w:charset w:val="01"/>
    <w:family w:val="roman"/>
    <w:pitch w:val="variable"/>
  </w:font>
  <w:font w:name="Webdings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snapToGrid w:val="false"/>
      <w:jc w:val="left"/>
      <w:rPr/>
    </w:pPr>
    <w:r>
      <w:rPr/>
      <mc:AlternateContent>
        <mc:Choice Requires="wps">
          <w:drawing>
            <wp:anchor behindDoc="1" distT="635" distB="635" distL="635" distR="635" simplePos="0" locked="0" layoutInCell="1" allowOverlap="1" relativeHeight="7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5" name="Čár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2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8731"/>
      <w:gridCol w:w="906"/>
    </w:tblGrid>
    <w:tr>
      <w:trPr/>
      <w:tc>
        <w:tcPr>
          <w:tcW w:w="8731" w:type="dxa"/>
          <w:tcBorders/>
        </w:tcPr>
        <w:p>
          <w:pPr>
            <w:pStyle w:val="Obsahtabulky"/>
            <w:widowControl w:val="false"/>
            <w:suppressLineNumbers/>
            <w:bidi w:val="0"/>
            <w:jc w:val="lef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t>Příloha č. 3b</w:t>
          </w:r>
        </w:p>
      </w:tc>
      <w:tc>
        <w:tcPr>
          <w:tcW w:w="906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PAGE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4</w:t>
          </w:r>
          <w:r>
            <w:rPr>
              <w:rFonts w:ascii="Helvetica Neue" w:hAnsi="Helvetica Neue"/>
            </w:rPr>
            <w:fldChar w:fldCharType="end"/>
          </w:r>
          <w:r>
            <w:rPr>
              <w:rFonts w:ascii="Helvetica Neue" w:hAnsi="Helvetica Neue"/>
            </w:rPr>
            <w:t>/</w:t>
          </w: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NUMPAGES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4</w:t>
          </w:r>
          <w:r>
            <w:rPr>
              <w:rFonts w:ascii="Helvetica Neue" w:hAnsi="Helvetica Neue"/>
            </w:rPr>
            <w:fldChar w:fldCharType="end"/>
          </w:r>
        </w:p>
      </w:tc>
    </w:tr>
  </w:tbl>
  <w:p>
    <w:pPr>
      <w:pStyle w:val="Footer"/>
      <w:bidi w:val="0"/>
      <w:snapToGrid w:val="false"/>
      <w:jc w:val="lef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left"/>
      <w:rPr>
        <w:sz w:val="4"/>
        <w:szCs w:val="4"/>
      </w:rPr>
    </w:pPr>
    <w:r>
      <w:rPr>
        <w:sz w:val="4"/>
        <w:szCs w:val="4"/>
      </w:rPr>
    </w:r>
  </w:p>
  <w:tbl>
    <w:tblPr>
      <w:tblW w:w="9546" w:type="dxa"/>
      <w:jc w:val="left"/>
      <w:tblInd w:w="-70" w:type="dxa"/>
      <w:tblLayout w:type="fixed"/>
      <w:tblCellMar>
        <w:top w:w="0" w:type="dxa"/>
        <w:left w:w="70" w:type="dxa"/>
        <w:bottom w:w="0" w:type="dxa"/>
        <w:right w:w="70" w:type="dxa"/>
      </w:tblCellMar>
    </w:tblPr>
    <w:tblGrid>
      <w:gridCol w:w="4773"/>
      <w:gridCol w:w="4772"/>
    </w:tblGrid>
    <w:tr>
      <w:trPr/>
      <w:tc>
        <w:tcPr>
          <w:tcW w:w="4773" w:type="dxa"/>
          <w:tcBorders/>
        </w:tcPr>
        <w:p>
          <w:pPr>
            <w:pStyle w:val="Footer"/>
            <w:widowControl w:val="false"/>
            <w:bidi w:val="0"/>
            <w:rPr>
              <w:rFonts w:ascii="Tahoma" w:hAnsi="Tahoma" w:eastAsia="Times New Roman" w:cs="Tahoma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Sprintel s.r.o.</w:t>
          </w:r>
        </w:p>
        <w:p>
          <w:pPr>
            <w:pStyle w:val="Footer"/>
            <w:widowControl w:val="false"/>
            <w:bidi w:val="0"/>
            <w:rPr>
              <w:rFonts w:ascii="Tahoma" w:hAnsi="Tahoma" w:eastAsia="Times New Roman" w:cs="Tahoma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IČ: 26974487 , DIČ: CZ26974487</w:t>
          </w:r>
        </w:p>
      </w:tc>
      <w:tc>
        <w:tcPr>
          <w:tcW w:w="4772" w:type="dxa"/>
          <w:tcBorders/>
        </w:tcPr>
        <w:p>
          <w:pPr>
            <w:pStyle w:val="Footer"/>
            <w:widowControl w:val="false"/>
            <w:bidi w:val="0"/>
            <w:jc w:val="right"/>
            <w:rPr/>
          </w:pPr>
          <w:r>
            <w:rPr>
              <w:rFonts w:cs="Tahoma" w:ascii="Tahoma" w:hAnsi="Tahoma"/>
              <w:sz w:val="22"/>
              <w:szCs w:val="22"/>
            </w:rPr>
            <w:t>www.sprintel.cz  info@sprintel.cz</w:t>
          </w:r>
        </w:p>
        <w:p>
          <w:pPr>
            <w:pStyle w:val="Footer"/>
            <w:widowControl w:val="false"/>
            <w:bidi w:val="0"/>
            <w:jc w:val="right"/>
            <w:rPr>
              <w:rFonts w:ascii="Tahoma" w:hAnsi="Tahoma" w:cs="Tahoma"/>
              <w:sz w:val="22"/>
              <w:szCs w:val="22"/>
            </w:rPr>
          </w:pPr>
          <w:r>
            <w:rPr>
              <w:rFonts w:cs="Tahoma" w:ascii="Tahoma" w:hAnsi="Tahoma"/>
              <w:sz w:val="22"/>
              <w:szCs w:val="22"/>
            </w:rPr>
            <w:t>588 008 008</w:t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818"/>
      <w:gridCol w:w="4819"/>
    </w:tblGrid>
    <w:tr>
      <w:trPr/>
      <w:tc>
        <w:tcPr>
          <w:tcW w:w="4818" w:type="dxa"/>
          <w:tcBorders/>
        </w:tcPr>
        <w:p>
          <w:pPr>
            <w:pStyle w:val="Header"/>
            <w:pageBreakBefore/>
            <w:widowControl w:val="false"/>
            <w:bidi w:val="0"/>
            <w:jc w:val="left"/>
            <w:rPr>
              <w:highlight w:val="none"/>
              <w:shd w:fill="auto" w:val="clear"/>
            </w:rPr>
          </w:pPr>
          <w:r>
            <w:drawing>
              <wp:anchor behindDoc="1" distT="0" distB="0" distL="0" distR="0" simplePos="0" locked="0" layoutInCell="1" allowOverlap="1" relativeHeight="12">
                <wp:simplePos x="0" y="0"/>
                <wp:positionH relativeFrom="column">
                  <wp:posOffset>320040</wp:posOffset>
                </wp:positionH>
                <wp:positionV relativeFrom="paragraph">
                  <wp:posOffset>786130</wp:posOffset>
                </wp:positionV>
                <wp:extent cx="5380355" cy="8315325"/>
                <wp:effectExtent l="0" t="0" r="0" b="0"/>
                <wp:wrapNone/>
                <wp:docPr id="2" name="Obrázek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ázek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0355" cy="831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Helvetica Neue" w:hAnsi="Helvetica Neue"/>
              <w:shd w:fill="auto" w:val="clear"/>
            </w:rPr>
            <w:t>Referenční velkoobchodní nabídka</w:t>
          </w:r>
        </w:p>
      </w:tc>
      <w:tc>
        <w:tcPr>
          <w:tcW w:w="4819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t>Verze 0.1 ze dne 30.10.2024</w:t>
          </w:r>
        </w:p>
      </w:tc>
    </w:tr>
  </w:tbl>
  <w:p>
    <w:pPr>
      <w:pStyle w:val="Header"/>
      <w:bidi w:val="0"/>
      <w:jc w:val="left"/>
      <w:rPr>
        <w:rFonts w:ascii="Helvetica Neue" w:hAnsi="Helvetica Neue"/>
        <w:sz w:val="4"/>
        <w:szCs w:val="4"/>
      </w:rPr>
    </w:pPr>
    <w:r>
      <w:rPr>
        <w:rFonts w:ascii="Helvetica Neue" w:hAnsi="Helvetica Neue"/>
        <w:sz w:val="4"/>
        <w:szCs w:val="4"/>
      </w:rPr>
    </w:r>
  </w:p>
  <w:p>
    <w:pPr>
      <w:pStyle w:val="Header"/>
      <w:bidi w:val="0"/>
      <w:jc w:val="left"/>
      <w:rPr>
        <w:sz w:val="12"/>
        <w:szCs w:val="12"/>
      </w:rPr>
    </w:pPr>
    <w:r>
      <w:rPr>
        <w:sz w:val="12"/>
        <w:szCs w:val="12"/>
      </w:rPr>
      <mc:AlternateContent>
        <mc:Choice Requires="wps">
          <w:drawing>
            <wp:anchor behindDoc="1" distT="635" distB="635" distL="635" distR="635" simplePos="0" locked="0" layoutInCell="1" allowOverlap="1" relativeHeight="4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3" name="Čára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1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left"/>
      <w:rPr/>
    </w:pPr>
    <w:r>
      <w:rPr/>
    </w:r>
  </w:p>
  <w:p>
    <w:pPr>
      <w:pStyle w:val="Header"/>
      <w:bidi w:val="0"/>
      <w:jc w:val="left"/>
      <w:rPr/>
    </w:pPr>
    <w:r>
      <w:rPr/>
      <w:drawing>
        <wp:anchor behindDoc="1" distT="0" distB="0" distL="0" distR="0" simplePos="0" locked="0" layoutInCell="1" allowOverlap="1" relativeHeight="8">
          <wp:simplePos x="0" y="0"/>
          <wp:positionH relativeFrom="column">
            <wp:posOffset>320040</wp:posOffset>
          </wp:positionH>
          <wp:positionV relativeFrom="paragraph">
            <wp:posOffset>786130</wp:posOffset>
          </wp:positionV>
          <wp:extent cx="5380355" cy="8315325"/>
          <wp:effectExtent l="0" t="0" r="0" b="0"/>
          <wp:wrapNone/>
          <wp:docPr id="4" name="Obrázek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80355" cy="831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cs-CZ" w:eastAsia="zh-CN" w:bidi="hi-IN"/>
    </w:rPr>
  </w:style>
  <w:style w:type="paragraph" w:styleId="Heading1">
    <w:name w:val="Heading 1"/>
    <w:basedOn w:val="Normal"/>
    <w:qFormat/>
    <w:pPr>
      <w:ind w:hanging="357" w:left="491"/>
      <w:outlineLvl w:val="0"/>
    </w:pPr>
    <w:rPr>
      <w:rFonts w:ascii="Arial" w:hAnsi="Arial" w:eastAsia="Arial" w:cs="Arial"/>
      <w:sz w:val="32"/>
      <w:szCs w:val="32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Nadpis">
    <w:name w:val="Nadpis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Zhlavazpat"/>
    <w:pPr>
      <w:suppressLineNumbers/>
    </w:pPr>
    <w:rPr/>
  </w:style>
  <w:style w:type="paragraph" w:styleId="Footer">
    <w:name w:val="Footer"/>
    <w:basedOn w:val="Zhlavazpat"/>
    <w:pPr>
      <w:suppressLineNumbers/>
      <w:spacing w:lineRule="auto" w:line="240" w:before="0" w:after="0"/>
      <w:contextualSpacing/>
    </w:pPr>
    <w:rPr/>
  </w:style>
  <w:style w:type="paragraph" w:styleId="Vodorovnra">
    <w:name w:val="Vodorovná čára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hanging="0" w:left="636"/>
    </w:pPr>
    <w:rPr/>
  </w:style>
  <w:style w:type="paragraph" w:styleId="Body-dal">
    <w:name w:val="body - další"/>
    <w:basedOn w:val="ListParagraph"/>
    <w:qFormat/>
    <w:pPr>
      <w:widowControl/>
      <w:spacing w:lineRule="auto" w:line="276" w:before="0" w:after="120"/>
      <w:ind w:hanging="0" w:lef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458</TotalTime>
  <Application>LibreOffice/24.2.3.2$MacOSX_AARCH64 LibreOffice_project/433d9c2ded56988e8a90e6b2e771ee4e6a5ab2ba</Application>
  <AppVersion>15.0000</AppVersion>
  <Pages>4</Pages>
  <Words>913</Words>
  <Characters>5586</Characters>
  <CharactersWithSpaces>6443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2024-01-02T10:10:46Z</dcterms:created>
  <dc:creator>Petr Kapounek</dc:creator>
  <dc:description/>
  <dc:language>cs-CZ</dc:language>
  <cp:lastModifiedBy>Petr Kapounek</cp:lastModifiedBy>
  <dcterms:modified xsi:type="dcterms:W3CDTF">2024-10-20T10:53:21Z</dcterms:modified>
  <cp:revision>162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