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2.xml.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header1.xml" ContentType="application/vnd.openxmlformats-officedocument.wordprocessingml.header+xml"/>
  <Override PartName="/word/document.xml" ContentType="application/vnd.openxmlformats-officedocument.wordprocessingml.document.main+xml"/>
  <Override PartName="/word/footer3.xml" ContentType="application/vnd.openxmlformats-officedocument.wordprocessingml.footer+xml"/>
  <Override PartName="/word/media/image1.png" ContentType="image/png"/>
  <Override PartName="/word/media/image2.png" ContentType="image/png"/>
  <Override PartName="/word/media/image3.png" ContentType="image/png"/>
  <Override PartName="/word/media/image4.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r>
    </w:p>
    <w:p>
      <w:pPr>
        <w:pStyle w:val="Normal"/>
        <w:bidi w:val="0"/>
        <w:jc w:val="left"/>
        <w:rPr/>
      </w:pPr>
      <w:r>
        <w:rPr/>
      </w:r>
    </w:p>
    <w:p>
      <w:pPr>
        <w:pStyle w:val="Normal"/>
        <w:bidi w:val="0"/>
        <w:jc w:val="center"/>
        <w:rPr/>
      </w:pPr>
      <w:r>
        <w:rPr/>
      </w:r>
    </w:p>
    <w:p>
      <w:pPr>
        <w:pStyle w:val="Normal"/>
        <w:bidi w:val="0"/>
        <w:jc w:val="center"/>
        <w:rPr/>
      </w:pPr>
      <w:r>
        <w:rPr/>
      </w:r>
    </w:p>
    <w:p>
      <w:pPr>
        <w:pStyle w:val="Normal"/>
        <w:bidi w:val="0"/>
        <w:jc w:val="center"/>
        <w:rPr/>
      </w:pPr>
      <w:r>
        <w:rPr/>
        <w:drawing>
          <wp:inline distT="0" distB="0" distL="0" distR="0">
            <wp:extent cx="4502150" cy="2015490"/>
            <wp:effectExtent l="0" t="0" r="0" b="0"/>
            <wp:docPr id="1"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2" descr=""/>
                    <pic:cNvPicPr>
                      <a:picLocks noChangeAspect="1" noChangeArrowheads="1"/>
                    </pic:cNvPicPr>
                  </pic:nvPicPr>
                  <pic:blipFill>
                    <a:blip r:embed="rId2"/>
                    <a:stretch>
                      <a:fillRect/>
                    </a:stretch>
                  </pic:blipFill>
                  <pic:spPr bwMode="auto">
                    <a:xfrm>
                      <a:off x="0" y="0"/>
                      <a:ext cx="4502150" cy="2015490"/>
                    </a:xfrm>
                    <a:prstGeom prst="rect">
                      <a:avLst/>
                    </a:prstGeom>
                  </pic:spPr>
                </pic:pic>
              </a:graphicData>
            </a:graphic>
          </wp:inline>
        </w:drawing>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t xml:space="preserve">Referenční velkoobchodní nabídka </w:t>
      </w:r>
    </w:p>
    <w:p>
      <w:pPr>
        <w:pStyle w:val="Obsahtabulky"/>
        <w:widowControl w:val="false"/>
        <w:bidi w:val="0"/>
        <w:ind w:hanging="0" w:left="1440"/>
        <w:jc w:val="left"/>
        <w:rPr>
          <w:rFonts w:ascii="Helvetica Neue" w:hAnsi="Helvetica Neue"/>
          <w:sz w:val="20"/>
          <w:szCs w:val="20"/>
        </w:rPr>
      </w:pPr>
      <w:r>
        <w:rPr>
          <w:rFonts w:ascii="Helvetica Neue" w:hAnsi="Helvetica Neue"/>
          <w:sz w:val="20"/>
          <w:szCs w:val="20"/>
        </w:rPr>
      </w:r>
    </w:p>
    <w:p>
      <w:pPr>
        <w:pStyle w:val="Obsahtabulky"/>
        <w:widowControl w:val="false"/>
        <w:bidi w:val="0"/>
        <w:ind w:hanging="0" w:left="1440"/>
        <w:jc w:val="left"/>
        <w:rPr>
          <w:rFonts w:ascii="Helvetica Neue" w:hAnsi="Helvetica Neue"/>
          <w:sz w:val="40"/>
          <w:szCs w:val="40"/>
        </w:rPr>
      </w:pPr>
      <w:r>
        <w:rPr>
          <w:rFonts w:ascii="Helvetica Neue" w:hAnsi="Helvetica Neue"/>
          <w:sz w:val="36"/>
          <w:szCs w:val="36"/>
        </w:rPr>
        <w:t>přístupu na sítích VHCN budovaných s využitím dotačních programů</w:t>
      </w:r>
    </w:p>
    <w:p>
      <w:pPr>
        <w:pStyle w:val="Obsahtabulky"/>
        <w:widowControl w:val="false"/>
        <w:bidi w:val="0"/>
        <w:ind w:hanging="0" w:left="1440"/>
        <w:jc w:val="left"/>
        <w:rPr>
          <w:rFonts w:ascii="Helvetica Neue" w:hAnsi="Helvetica Neue"/>
          <w:sz w:val="20"/>
          <w:szCs w:val="20"/>
        </w:rPr>
      </w:pPr>
      <w:r>
        <w:rPr>
          <w:rFonts w:ascii="Helvetica Neue" w:hAnsi="Helvetica Neue"/>
          <w:sz w:val="20"/>
          <w:szCs w:val="20"/>
        </w:rPr>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bidi w:val="0"/>
        <w:ind w:hanging="0" w:left="1440"/>
        <w:jc w:val="left"/>
        <w:rPr>
          <w:rFonts w:ascii="Helvetica Neue" w:hAnsi="Helvetica Neue"/>
          <w:sz w:val="40"/>
          <w:szCs w:val="40"/>
        </w:rPr>
      </w:pPr>
      <w:r>
        <w:rPr>
          <w:rFonts w:ascii="Helvetica Neue" w:hAnsi="Helvetica Neue"/>
          <w:sz w:val="40"/>
          <w:szCs w:val="40"/>
        </w:rPr>
      </w:r>
    </w:p>
    <w:p>
      <w:pPr>
        <w:pStyle w:val="Obsahtabulky"/>
        <w:widowControl w:val="false"/>
        <w:bidi w:val="0"/>
        <w:ind w:hanging="0" w:left="1440"/>
        <w:jc w:val="left"/>
        <w:rPr>
          <w:sz w:val="32"/>
          <w:szCs w:val="32"/>
        </w:rPr>
      </w:pPr>
      <w:r>
        <w:rPr>
          <w:rFonts w:eastAsia="Songti SC" w:cs="Arial Unicode MS" w:ascii="Helvetica Neue" w:hAnsi="Helvetica Neue"/>
          <w:color w:val="auto"/>
          <w:kern w:val="2"/>
          <w:sz w:val="32"/>
          <w:szCs w:val="32"/>
          <w:lang w:val="cs-CZ" w:eastAsia="zh-CN" w:bidi="hi-IN"/>
        </w:rPr>
        <w:t>příloha č. 2</w:t>
      </w:r>
    </w:p>
    <w:p>
      <w:pPr>
        <w:pStyle w:val="Obsahtabulky"/>
        <w:widowControl w:val="false"/>
        <w:bidi w:val="0"/>
        <w:ind w:hanging="0" w:left="1440"/>
        <w:jc w:val="left"/>
        <w:rPr>
          <w:rFonts w:ascii="Helvetica Neue" w:hAnsi="Helvetica Neue" w:eastAsia="Songti SC" w:cs="Arial Unicode MS"/>
          <w:color w:val="auto"/>
          <w:kern w:val="2"/>
          <w:lang w:val="cs-CZ" w:eastAsia="zh-CN" w:bidi="hi-IN"/>
        </w:rPr>
      </w:pPr>
      <w:r>
        <w:rPr>
          <w:rFonts w:eastAsia="Songti SC" w:cs="Arial Unicode MS" w:ascii="Helvetica Neue" w:hAnsi="Helvetica Neue"/>
          <w:color w:val="auto"/>
          <w:kern w:val="2"/>
          <w:lang w:val="cs-CZ" w:eastAsia="zh-CN" w:bidi="hi-IN"/>
        </w:rPr>
      </w:r>
    </w:p>
    <w:p>
      <w:pPr>
        <w:pStyle w:val="Obsahtabulky"/>
        <w:widowControl w:val="false"/>
        <w:bidi w:val="0"/>
        <w:ind w:hanging="0" w:left="1440"/>
        <w:jc w:val="left"/>
        <w:rPr>
          <w:sz w:val="32"/>
          <w:szCs w:val="32"/>
        </w:rPr>
      </w:pPr>
      <w:r>
        <w:rPr>
          <w:rFonts w:eastAsia="Songti SC" w:cs="Arial Unicode MS" w:ascii="Helvetica Neue" w:hAnsi="Helvetica Neue"/>
          <w:color w:val="auto"/>
          <w:kern w:val="2"/>
          <w:sz w:val="32"/>
          <w:szCs w:val="32"/>
          <w:lang w:val="cs-CZ" w:eastAsia="zh-CN" w:bidi="hi-IN"/>
        </w:rPr>
        <w:t>Schéma sítě, seznam jejích částí a</w:t>
      </w:r>
    </w:p>
    <w:p>
      <w:pPr>
        <w:pStyle w:val="Obsahtabulky"/>
        <w:widowControl w:val="false"/>
        <w:bidi w:val="0"/>
        <w:ind w:hanging="0" w:left="1440"/>
        <w:jc w:val="left"/>
        <w:rPr>
          <w:sz w:val="32"/>
          <w:szCs w:val="32"/>
        </w:rPr>
      </w:pPr>
      <w:r>
        <w:rPr>
          <w:rFonts w:eastAsia="Songti SC" w:cs="Arial Unicode MS" w:ascii="Helvetica Neue" w:hAnsi="Helvetica Neue"/>
          <w:color w:val="auto"/>
          <w:kern w:val="2"/>
          <w:sz w:val="32"/>
          <w:szCs w:val="32"/>
          <w:lang w:val="cs-CZ" w:eastAsia="zh-CN" w:bidi="hi-IN"/>
        </w:rPr>
        <w:t>pokrytých základních sídelních jednotek</w:t>
      </w:r>
    </w:p>
    <w:p>
      <w:pPr>
        <w:pStyle w:val="Obsahtabulky"/>
        <w:widowControl w:val="false"/>
        <w:bidi w:val="0"/>
        <w:ind w:hanging="0" w:left="2160"/>
        <w:jc w:val="left"/>
        <w:rPr>
          <w:rFonts w:ascii="Helvetica Neue" w:hAnsi="Helvetica Neue"/>
          <w:sz w:val="40"/>
          <w:szCs w:val="40"/>
        </w:rPr>
      </w:pPr>
      <w:r>
        <w:rPr>
          <w:rFonts w:ascii="Helvetica Neue" w:hAnsi="Helvetica Neue"/>
          <w:sz w:val="40"/>
          <w:szCs w:val="40"/>
        </w:rPr>
      </w:r>
      <w:r>
        <w:br w:type="page"/>
      </w:r>
    </w:p>
    <w:p>
      <w:pPr>
        <w:pStyle w:val="Normal"/>
        <w:bidi w:val="0"/>
        <w:spacing w:before="0" w:after="0"/>
        <w:jc w:val="left"/>
        <w:rPr/>
      </w:pPr>
      <w:r>
        <w:rPr/>
      </w:r>
    </w:p>
    <w:p>
      <w:pPr>
        <w:pStyle w:val="BodyText"/>
        <w:spacing w:lineRule="auto" w:line="290" w:before="1" w:after="0"/>
        <w:ind w:hanging="0" w:left="136" w:right="135"/>
        <w:jc w:val="both"/>
        <w:rPr>
          <w:rFonts w:ascii="Helvetica Neue" w:hAnsi="Helvetica Neue"/>
          <w:sz w:val="32"/>
          <w:szCs w:val="32"/>
        </w:rPr>
      </w:pPr>
      <w:r>
        <w:rPr>
          <w:rFonts w:eastAsia="Songti SC" w:cs="Arial" w:ascii="Helvetica Neue" w:hAnsi="Helvetica Neue"/>
          <w:b w:val="false"/>
          <w:bCs w:val="false"/>
          <w:color w:val="000000"/>
          <w:kern w:val="2"/>
          <w:sz w:val="32"/>
          <w:szCs w:val="32"/>
          <w:shd w:fill="auto" w:val="clear"/>
          <w:lang w:val="cs-CZ" w:eastAsia="zh-CN" w:bidi="hi-IN"/>
        </w:rPr>
        <w:t>1. Geografické schéma sítě v Národní intervenční oblasti č. 15</w:t>
      </w:r>
    </w:p>
    <w:p>
      <w:pPr>
        <w:pStyle w:val="BodyText"/>
        <w:spacing w:lineRule="auto" w:line="290" w:before="1" w:after="0"/>
        <w:ind w:hanging="0" w:left="136" w:right="135"/>
        <w:jc w:val="both"/>
        <w:rPr>
          <w:rFonts w:eastAsia="Songti SC" w:cs="Arial"/>
          <w:b w:val="false"/>
          <w:bCs w:val="false"/>
          <w:color w:val="000000"/>
          <w:kern w:val="2"/>
          <w:shd w:fill="auto" w:val="clear"/>
          <w:lang w:val="cs-CZ" w:eastAsia="zh-CN" w:bidi="hi-IN"/>
        </w:rPr>
      </w:pPr>
      <w:r>
        <w:rPr>
          <w:rFonts w:eastAsia="Songti SC" w:cs="Arial"/>
          <w:b w:val="false"/>
          <w:bCs w:val="false"/>
          <w:color w:val="000000"/>
          <w:kern w:val="2"/>
          <w:shd w:fill="auto" w:val="clear"/>
          <w:lang w:val="cs-CZ" w:eastAsia="zh-CN" w:bidi="hi-IN"/>
        </w:rPr>
      </w:r>
    </w:p>
    <w:p>
      <w:pPr>
        <w:pStyle w:val="BodyText"/>
        <w:spacing w:lineRule="auto" w:line="290" w:before="1" w:after="0"/>
        <w:ind w:hanging="0" w:left="136" w:right="135"/>
        <w:jc w:val="center"/>
        <w:rPr>
          <w:rFonts w:ascii="Helvetica Neue" w:hAnsi="Helvetica Neue" w:eastAsia="Songti SC" w:cs="Arial"/>
          <w:b w:val="false"/>
          <w:bCs w:val="false"/>
          <w:color w:val="000000"/>
          <w:kern w:val="2"/>
          <w:shd w:fill="auto" w:val="clear"/>
          <w:lang w:val="cs-CZ" w:eastAsia="zh-CN" w:bidi="hi-IN"/>
        </w:rPr>
      </w:pPr>
      <w:r>
        <w:rPr/>
        <w:drawing>
          <wp:inline distT="0" distB="0" distL="0" distR="0">
            <wp:extent cx="4740910" cy="3959860"/>
            <wp:effectExtent l="0" t="0" r="0" b="0"/>
            <wp:docPr id="2" name="Obrázek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3" descr=""/>
                    <pic:cNvPicPr>
                      <a:picLocks noChangeAspect="1" noChangeArrowheads="1"/>
                    </pic:cNvPicPr>
                  </pic:nvPicPr>
                  <pic:blipFill>
                    <a:blip r:embed="rId3"/>
                    <a:stretch>
                      <a:fillRect/>
                    </a:stretch>
                  </pic:blipFill>
                  <pic:spPr bwMode="auto">
                    <a:xfrm>
                      <a:off x="0" y="0"/>
                      <a:ext cx="4740910" cy="3959860"/>
                    </a:xfrm>
                    <a:prstGeom prst="rect">
                      <a:avLst/>
                    </a:prstGeom>
                  </pic:spPr>
                </pic:pic>
              </a:graphicData>
            </a:graphic>
          </wp:inline>
        </w:drawing>
      </w:r>
    </w:p>
    <w:p>
      <w:pPr>
        <w:pStyle w:val="BodyText"/>
        <w:spacing w:lineRule="auto" w:line="290" w:before="1" w:after="0"/>
        <w:ind w:hanging="0" w:left="136" w:right="135"/>
        <w:jc w:val="both"/>
        <w:rPr>
          <w:sz w:val="12"/>
          <w:szCs w:val="12"/>
        </w:rPr>
      </w:pPr>
      <w:r>
        <w:rPr>
          <w:sz w:val="12"/>
          <w:szCs w:val="12"/>
        </w:rPr>
      </w:r>
    </w:p>
    <w:p>
      <w:pPr>
        <w:pStyle w:val="BodyText"/>
        <w:spacing w:lineRule="auto" w:line="290" w:before="1" w:after="0"/>
        <w:ind w:hanging="0" w:left="136" w:right="135"/>
        <w:jc w:val="both"/>
        <w:rPr>
          <w:highlight w:val="none"/>
          <w:shd w:fill="FFFF00" w:val="clear"/>
        </w:rPr>
      </w:pPr>
      <w:r>
        <w:rPr>
          <w:rFonts w:eastAsia="Songti SC" w:cs="Arial" w:ascii="Helvetica Neue" w:hAnsi="Helvetica Neue"/>
          <w:b w:val="false"/>
          <w:bCs w:val="false"/>
          <w:color w:val="000000"/>
          <w:kern w:val="2"/>
          <w:shd w:fill="auto" w:val="clear"/>
          <w:lang w:val="cs-CZ" w:eastAsia="zh-CN" w:bidi="hi-IN"/>
        </w:rPr>
        <w:t>S</w:t>
      </w:r>
      <w:r>
        <w:rPr>
          <w:rFonts w:eastAsia="Songti SC" w:cs="Arial" w:ascii="Helvetica Neue" w:hAnsi="Helvetica Neue"/>
          <w:b w:val="false"/>
          <w:bCs w:val="false"/>
          <w:color w:val="000000"/>
          <w:kern w:val="2"/>
          <w:sz w:val="24"/>
          <w:szCs w:val="24"/>
          <w:shd w:fill="auto" w:val="clear"/>
          <w:lang w:val="cs-CZ" w:eastAsia="zh-CN" w:bidi="hi-IN"/>
        </w:rPr>
        <w:t>íť je obsluhována jedním aktivním uzlem s OLT typu XGS-PON (</w:t>
      </w:r>
      <w:r>
        <w:rPr>
          <w:rFonts w:eastAsia="Songti SC" w:cs="Arial" w:ascii="Helvetica Neue" w:hAnsi="Helvetica Neue"/>
          <w:b w:val="false"/>
          <w:bCs w:val="false"/>
          <w:color w:val="000000"/>
          <w:kern w:val="2"/>
          <w:sz w:val="24"/>
          <w:szCs w:val="24"/>
          <w:shd w:fill="auto" w:val="clear"/>
          <w:lang w:val="cs-CZ" w:eastAsia="zh-CN" w:bidi="hi-IN"/>
        </w:rPr>
        <w:t>v ZSJ</w:t>
      </w:r>
      <w:r>
        <w:rPr>
          <w:rFonts w:eastAsia="Songti SC" w:cs="Arial" w:ascii="Helvetica Neue" w:hAnsi="Helvetica Neue"/>
          <w:b w:val="false"/>
          <w:bCs w:val="false"/>
          <w:i/>
          <w:iCs/>
          <w:color w:val="000000"/>
          <w:kern w:val="2"/>
          <w:sz w:val="24"/>
          <w:szCs w:val="24"/>
          <w:shd w:fill="auto" w:val="clear"/>
          <w:lang w:val="cs-CZ" w:eastAsia="zh-CN" w:bidi="hi-IN"/>
        </w:rPr>
        <w:t xml:space="preserve"> Benátky</w:t>
      </w:r>
      <w:r>
        <w:rPr>
          <w:rFonts w:eastAsia="Songti SC" w:cs="Arial" w:ascii="Helvetica Neue" w:hAnsi="Helvetica Neue"/>
          <w:b w:val="false"/>
          <w:bCs w:val="false"/>
          <w:color w:val="000000"/>
          <w:kern w:val="2"/>
          <w:sz w:val="24"/>
          <w:szCs w:val="24"/>
          <w:shd w:fill="auto" w:val="clear"/>
          <w:lang w:val="cs-CZ" w:eastAsia="zh-CN" w:bidi="hi-IN"/>
        </w:rPr>
        <w:t>) aktuálně s kapacitou uplinku 4 Gbit/s (uvažováno navýšení na 10 Gbit/s v případě připojení optickou trasou.</w:t>
      </w:r>
    </w:p>
    <w:p>
      <w:pPr>
        <w:pStyle w:val="BodyText"/>
        <w:spacing w:lineRule="auto" w:line="290" w:before="1" w:after="0"/>
        <w:ind w:hanging="0" w:left="136" w:right="135"/>
        <w:jc w:val="both"/>
        <w:rPr>
          <w:rFonts w:eastAsia="Songti SC" w:cs="Arial"/>
          <w:b w:val="false"/>
          <w:bCs w:val="false"/>
          <w:color w:val="000000"/>
          <w:kern w:val="2"/>
          <w:shd w:fill="auto" w:val="clear"/>
          <w:lang w:val="cs-CZ" w:eastAsia="zh-CN" w:bidi="hi-IN"/>
        </w:rPr>
      </w:pPr>
      <w:r>
        <w:rPr>
          <w:rFonts w:eastAsia="Songti SC" w:cs="Arial"/>
          <w:b w:val="false"/>
          <w:bCs w:val="false"/>
          <w:color w:val="000000"/>
          <w:kern w:val="2"/>
          <w:shd w:fill="auto" w:val="clear"/>
          <w:lang w:val="cs-CZ" w:eastAsia="zh-CN" w:bidi="hi-IN"/>
        </w:rPr>
      </w:r>
    </w:p>
    <w:p>
      <w:pPr>
        <w:pStyle w:val="BodyText"/>
        <w:spacing w:lineRule="auto" w:line="290" w:before="1" w:after="0"/>
        <w:ind w:hanging="0" w:left="136" w:right="135"/>
        <w:jc w:val="both"/>
        <w:rPr>
          <w:rFonts w:ascii="Helvetica Neue" w:hAnsi="Helvetica Neue"/>
          <w:sz w:val="36"/>
          <w:szCs w:val="36"/>
        </w:rPr>
      </w:pPr>
      <w:r>
        <w:rPr>
          <w:rFonts w:ascii="Helvetica Neue" w:hAnsi="Helvetica Neue"/>
          <w:sz w:val="36"/>
          <w:szCs w:val="36"/>
        </w:rPr>
        <w:t xml:space="preserve">2. Popis </w:t>
      </w:r>
      <w:r>
        <w:rPr>
          <w:rFonts w:eastAsia="Songti SC" w:cs="Arial Unicode MS" w:ascii="Helvetica Neue" w:hAnsi="Helvetica Neue"/>
          <w:color w:val="auto"/>
          <w:kern w:val="2"/>
          <w:sz w:val="36"/>
          <w:szCs w:val="36"/>
          <w:lang w:val="cs-CZ" w:eastAsia="zh-CN" w:bidi="hi-IN"/>
        </w:rPr>
        <w:t>řešení a dostupných kapacit</w:t>
      </w:r>
    </w:p>
    <w:p>
      <w:pPr>
        <w:pStyle w:val="BodyText"/>
        <w:spacing w:lineRule="auto" w:line="290" w:before="1" w:after="0"/>
        <w:ind w:hanging="0" w:left="136" w:right="135"/>
        <w:jc w:val="both"/>
        <w:rPr>
          <w:rFonts w:eastAsia="Songti SC" w:cs="Arial Unicode MS"/>
          <w:color w:val="auto"/>
          <w:kern w:val="2"/>
          <w:sz w:val="12"/>
          <w:szCs w:val="12"/>
          <w:lang w:val="cs-CZ" w:eastAsia="zh-CN" w:bidi="hi-IN"/>
        </w:rPr>
      </w:pPr>
      <w:r>
        <w:rPr>
          <w:rFonts w:eastAsia="Songti SC" w:cs="Arial Unicode MS"/>
          <w:color w:val="auto"/>
          <w:kern w:val="2"/>
          <w:sz w:val="12"/>
          <w:szCs w:val="12"/>
          <w:lang w:val="cs-CZ" w:eastAsia="zh-CN" w:bidi="hi-IN"/>
        </w:rPr>
      </w:r>
    </w:p>
    <w:p>
      <w:pPr>
        <w:pStyle w:val="BodyText"/>
        <w:spacing w:lineRule="auto" w:line="290" w:before="1" w:after="0"/>
        <w:ind w:hanging="0" w:left="136" w:right="135"/>
        <w:jc w:val="both"/>
        <w:rPr>
          <w:rFonts w:ascii="Helvetica Neue" w:hAnsi="Helvetica Neue" w:eastAsia="Songti SC" w:cs="Arial Unicode MS"/>
          <w:color w:val="auto"/>
          <w:kern w:val="2"/>
          <w:lang w:val="cs-CZ" w:eastAsia="zh-CN" w:bidi="hi-IN"/>
        </w:rPr>
      </w:pPr>
      <w:r>
        <w:rPr>
          <w:rFonts w:eastAsia="Songti SC" w:cs="Arial Unicode MS" w:ascii="Helvetica Neue" w:hAnsi="Helvetica Neue"/>
          <w:b/>
          <w:bCs/>
          <w:color w:val="auto"/>
          <w:kern w:val="2"/>
          <w:lang w:val="cs-CZ" w:eastAsia="zh-CN" w:bidi="hi-IN"/>
        </w:rPr>
        <w:t>2.1. Z</w:t>
      </w:r>
      <w:r>
        <w:rPr>
          <w:rFonts w:eastAsia="Songti SC" w:cs="Arial Unicode MS" w:ascii="Helvetica Neue" w:hAnsi="Helvetica Neue"/>
          <w:b/>
          <w:bCs/>
          <w:color w:val="auto"/>
          <w:kern w:val="2"/>
          <w:sz w:val="24"/>
          <w:szCs w:val="24"/>
          <w:lang w:val="cs-CZ" w:eastAsia="zh-CN" w:bidi="hi-IN"/>
        </w:rPr>
        <w:t xml:space="preserve">ákladní Specifikace. </w:t>
      </w:r>
      <w:r>
        <w:rPr>
          <w:rFonts w:eastAsia="Songti SC" w:cs="Arial Unicode MS" w:ascii="Helvetica Neue" w:hAnsi="Helvetica Neue"/>
          <w:color w:val="auto"/>
          <w:kern w:val="2"/>
          <w:lang w:val="cs-CZ" w:eastAsia="zh-CN" w:bidi="hi-IN"/>
        </w:rPr>
        <w:t>V</w:t>
      </w:r>
      <w:r>
        <w:rPr>
          <w:rFonts w:eastAsia="Songti SC" w:cs="Arial Unicode MS" w:ascii="Helvetica Neue" w:hAnsi="Helvetica Neue"/>
          <w:color w:val="auto"/>
          <w:kern w:val="2"/>
          <w:sz w:val="24"/>
          <w:szCs w:val="24"/>
          <w:lang w:val="cs-CZ" w:eastAsia="zh-CN" w:bidi="hi-IN"/>
        </w:rPr>
        <w:t xml:space="preserve">šechna optická vlákna jsou typu single-mode 9/125μm. Zakončení je vždy provedeno konektorem LC/APC. Předávacím rozhraním služeb je metalický nebo optický Ethernet blíže specifikovaný v příslušné příloze při předání služby </w:t>
      </w:r>
      <w:r>
        <w:rPr>
          <w:rFonts w:eastAsia="Helvetica Neue" w:cs="Helvetica Neue" w:ascii="Helvetica Neue" w:hAnsi="Helvetica Neue"/>
          <w:color w:val="auto"/>
          <w:kern w:val="2"/>
          <w:sz w:val="24"/>
          <w:szCs w:val="24"/>
          <w:lang w:val="cs-CZ" w:eastAsia="zh-CN" w:bidi="hi-IN"/>
        </w:rPr>
        <w:t>—</w:t>
      </w:r>
      <w:r>
        <w:rPr>
          <w:rFonts w:eastAsia="Songti SC" w:cs="Arial Unicode MS" w:ascii="Helvetica Neue" w:hAnsi="Helvetica Neue"/>
          <w:color w:val="auto"/>
          <w:kern w:val="2"/>
          <w:sz w:val="24"/>
          <w:szCs w:val="24"/>
          <w:lang w:val="cs-CZ" w:eastAsia="zh-CN" w:bidi="hi-IN"/>
        </w:rPr>
        <w:t xml:space="preserve"> dle místa, kapacity (Nx1Gbit/s nebo Nx10Gbit/s) a dojednaného způsobu propojení. Kapacita a rozhraní aktivních prvků (tj. rozhraní pro jednotlivé služby VULA/Bistream) jsou specifikovány níže.</w:t>
      </w:r>
      <w:r>
        <w:rPr>
          <w:rFonts w:eastAsia="Songti SC" w:cs="Arial Unicode MS" w:ascii="Helvetica Neue" w:hAnsi="Helvetica Neue"/>
          <w:color w:val="000000"/>
          <w:kern w:val="2"/>
          <w:sz w:val="24"/>
          <w:szCs w:val="24"/>
          <w:shd w:fill="auto" w:val="clear"/>
          <w:lang w:val="cs-CZ" w:eastAsia="zh-CN" w:bidi="hi-IN"/>
        </w:rPr>
        <w:t xml:space="preserve"> Celá dotovaná síť v intervenční oblasti č. 15 je vybudována výhradně na technologii optických vláken. Časné variantě je uvažováno s úsekem přípojné sítě realizovaném mikrovlnnými spoji. Pokud dojde k jeho náhradě optickou trasou, jak je uvažováno, nebude k dispozici služba zpřístupnění stožárů či kapacity radiových spojů, neboť nebudou v projektu obsaženy.</w:t>
      </w:r>
    </w:p>
    <w:p>
      <w:pPr>
        <w:pStyle w:val="BodyText"/>
        <w:spacing w:lineRule="auto" w:line="290" w:before="1" w:after="0"/>
        <w:ind w:hanging="0" w:left="136" w:right="135"/>
        <w:jc w:val="both"/>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BodyText"/>
        <w:spacing w:lineRule="auto" w:line="290" w:before="1" w:after="0"/>
        <w:ind w:hanging="0" w:left="136" w:right="135"/>
        <w:jc w:val="both"/>
        <w:rPr>
          <w:rFonts w:ascii="Helvetica Neue" w:hAnsi="Helvetica Neue"/>
          <w:sz w:val="24"/>
          <w:szCs w:val="24"/>
        </w:rPr>
      </w:pPr>
      <w:r>
        <w:rPr>
          <w:rFonts w:eastAsia="Songti SC" w:cs="Arial Unicode MS" w:ascii="Helvetica Neue" w:hAnsi="Helvetica Neue"/>
          <w:b/>
          <w:bCs/>
          <w:color w:val="auto"/>
          <w:kern w:val="2"/>
          <w:sz w:val="24"/>
          <w:szCs w:val="24"/>
          <w:lang w:val="cs-CZ" w:eastAsia="zh-CN" w:bidi="hi-IN"/>
        </w:rPr>
        <w:t>2.2. Přípojná síť (Backhaul)</w:t>
      </w:r>
      <w:r>
        <w:rPr>
          <w:rFonts w:eastAsia="Songti SC" w:cs="Arial Unicode MS" w:ascii="Helvetica Neue" w:hAnsi="Helvetica Neue"/>
          <w:color w:val="auto"/>
          <w:kern w:val="2"/>
          <w:sz w:val="24"/>
          <w:szCs w:val="24"/>
          <w:lang w:val="cs-CZ" w:eastAsia="zh-CN" w:bidi="hi-IN"/>
        </w:rPr>
        <w:t xml:space="preserve"> sítě Sprintel v Olomouci, z níž se napojuje i dotovaná síť, která je předmětem této nabídky, je připojená prostřednictvím pronajatých datových okruhů přes optická vlákna do</w:t>
      </w:r>
      <w:r>
        <w:rPr>
          <w:rFonts w:eastAsia="Songti SC" w:cs="Arial Unicode MS" w:ascii="Helvetica Neue" w:hAnsi="Helvetica Neue"/>
          <w:color w:val="000000"/>
          <w:kern w:val="2"/>
          <w:sz w:val="24"/>
          <w:szCs w:val="24"/>
          <w:shd w:fill="auto" w:val="clear"/>
          <w:lang w:val="cs-CZ" w:eastAsia="zh-CN" w:bidi="hi-IN"/>
        </w:rPr>
        <w:t xml:space="preserve"> pražských datacenter CeColo (Nad Elektrárnou 1428/47, 106 00 Praha 10) a TTC1 (Tiskařská 257/10, 108 00 Praha 10 – Malešice), ve</w:t>
      </w:r>
      <w:r>
        <w:rPr>
          <w:rFonts w:eastAsia="Songti SC" w:cs="Arial Unicode MS" w:ascii="Helvetica Neue" w:hAnsi="Helvetica Neue"/>
          <w:color w:val="auto"/>
          <w:kern w:val="2"/>
          <w:sz w:val="24"/>
          <w:szCs w:val="24"/>
          <w:lang w:val="cs-CZ" w:eastAsia="zh-CN" w:bidi="hi-IN"/>
        </w:rPr>
        <w:t xml:space="preserve"> kterých je možné předat službu Bitstream nebo z nich poskytnou potřebnou k</w:t>
      </w:r>
      <w:r>
        <w:rPr>
          <w:rFonts w:eastAsia="Songti SC" w:cs="Arial Unicode MS" w:ascii="Helvetica Neue" w:hAnsi="Helvetica Neue"/>
          <w:color w:val="000000"/>
          <w:kern w:val="2"/>
          <w:sz w:val="24"/>
          <w:szCs w:val="24"/>
          <w:shd w:fill="auto" w:val="clear"/>
          <w:lang w:val="cs-CZ" w:eastAsia="zh-CN" w:bidi="hi-IN"/>
        </w:rPr>
        <w:t>apacitu k napojení sítě. Celková kapacita tras k datu plánovaného spuštění sítě je 2x 100 Gbit/s.</w:t>
      </w:r>
    </w:p>
    <w:p>
      <w:pPr>
        <w:pStyle w:val="BodyText"/>
        <w:spacing w:lineRule="auto" w:line="290" w:before="1" w:after="0"/>
        <w:ind w:hanging="0" w:left="136" w:right="135"/>
        <w:jc w:val="both"/>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BodyText"/>
        <w:spacing w:lineRule="auto" w:line="290" w:before="1" w:after="0"/>
        <w:ind w:hanging="0" w:left="136" w:right="135"/>
        <w:jc w:val="both"/>
        <w:rPr>
          <w:rFonts w:ascii="Helvetica Neue" w:hAnsi="Helvetica Neue"/>
          <w:b/>
          <w:bCs/>
          <w:sz w:val="24"/>
          <w:szCs w:val="24"/>
        </w:rPr>
      </w:pPr>
      <w:r>
        <w:rPr>
          <w:rFonts w:eastAsia="Songti SC" w:cs="Arial Unicode MS" w:ascii="Helvetica Neue" w:hAnsi="Helvetica Neue"/>
          <w:b/>
          <w:bCs/>
          <w:color w:val="auto"/>
          <w:kern w:val="2"/>
          <w:sz w:val="24"/>
          <w:szCs w:val="24"/>
          <w:lang w:val="cs-CZ" w:eastAsia="zh-CN" w:bidi="hi-IN"/>
        </w:rPr>
        <w:t>2.3. Distribuční (páteřní) síť</w:t>
      </w:r>
      <w:r>
        <w:rPr>
          <w:rFonts w:eastAsia="Songti SC" w:cs="Arial Unicode MS" w:ascii="Helvetica Neue" w:hAnsi="Helvetica Neue"/>
          <w:b w:val="false"/>
          <w:bCs w:val="false"/>
          <w:color w:val="auto"/>
          <w:kern w:val="2"/>
          <w:sz w:val="24"/>
          <w:szCs w:val="24"/>
          <w:lang w:val="cs-CZ" w:eastAsia="zh-CN" w:bidi="hi-IN"/>
        </w:rPr>
        <w:t xml:space="preserve"> je v rámci dotované sítě, která je předmětem této nabídky, vybudována výhradně na optických vláknech.</w:t>
      </w:r>
      <w:r>
        <w:rPr>
          <w:rFonts w:eastAsia="Songti SC" w:cs="Arial Unicode MS" w:ascii="Helvetica Neue" w:hAnsi="Helvetica Neue"/>
          <w:b w:val="false"/>
          <w:bCs w:val="false"/>
          <w:color w:val="000000"/>
          <w:kern w:val="2"/>
          <w:sz w:val="24"/>
          <w:szCs w:val="24"/>
          <w:shd w:fill="auto" w:val="clear"/>
          <w:lang w:val="cs-CZ" w:eastAsia="zh-CN" w:bidi="hi-IN"/>
        </w:rPr>
        <w:t xml:space="preserve"> Na hlavních propojích mezi jednotlivými obcemi jsou použity kabely s 96ti. vlákny, tedy vč. povinné minimálně trojnásobné rezervy pro velkoobchodní nabídku. Pro připojení dotované sítě na páteřní konektivitu je v projektu počítáno s mikrovlnnou trasou o kapacitě až 4Gbit/s. Je však uvažována varianta v úseku Olomouc – Březce využít pronájem vlákna a kapacitu zajistit CWDM trasou. V takovém případě by tedy bylo možné do lokality variantně nabídnout nejen datovou kapacitu, ale také CWDM kanály o kapacitě 10 Gbit/s.</w:t>
      </w:r>
    </w:p>
    <w:p>
      <w:pPr>
        <w:pStyle w:val="BodyText"/>
        <w:spacing w:lineRule="auto" w:line="290" w:before="1" w:after="0"/>
        <w:ind w:hanging="0" w:left="136" w:right="135"/>
        <w:jc w:val="both"/>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BodyText"/>
        <w:spacing w:lineRule="auto" w:line="290" w:before="1" w:after="0"/>
        <w:ind w:hanging="0" w:left="136" w:right="135"/>
        <w:jc w:val="both"/>
        <w:rPr>
          <w:rFonts w:ascii="Helvetica Neue" w:hAnsi="Helvetica Neue"/>
          <w:sz w:val="24"/>
          <w:szCs w:val="24"/>
        </w:rPr>
      </w:pPr>
      <w:r>
        <w:rPr>
          <w:rFonts w:eastAsia="Songti SC" w:cs="Arial Unicode MS" w:ascii="Helvetica Neue" w:hAnsi="Helvetica Neue"/>
          <w:b/>
          <w:bCs/>
          <w:color w:val="auto"/>
          <w:kern w:val="2"/>
          <w:sz w:val="24"/>
          <w:szCs w:val="24"/>
          <w:lang w:val="cs-CZ" w:eastAsia="zh-CN" w:bidi="hi-IN"/>
        </w:rPr>
        <w:t>2.4. Rozhraní mezi páteřní sítí a distribuční sítí</w:t>
      </w:r>
      <w:r>
        <w:rPr>
          <w:rFonts w:eastAsia="Songti SC" w:cs="Arial Unicode MS" w:ascii="Helvetica Neue" w:hAnsi="Helvetica Neue"/>
          <w:color w:val="auto"/>
          <w:kern w:val="2"/>
          <w:sz w:val="24"/>
          <w:szCs w:val="24"/>
          <w:lang w:val="cs-CZ" w:eastAsia="zh-CN" w:bidi="hi-IN"/>
        </w:rPr>
        <w:t xml:space="preserve"> v jednotlivých obcích je realizováno zpravidla v zemních komorách nebo volně stojících rozvaděčích, z nichž pokračuje páteřní kabel trubičkou distribučního úseku sítě do topologicky prvního soustřeďovacího uzlu.  V některých místech tedy distribuční síť v obcích plní i funkci přípojné sítě.</w:t>
      </w:r>
    </w:p>
    <w:p>
      <w:pPr>
        <w:pStyle w:val="BodyText"/>
        <w:spacing w:lineRule="auto" w:line="290" w:before="1" w:after="0"/>
        <w:ind w:hanging="0" w:left="136" w:right="135"/>
        <w:jc w:val="both"/>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BodyText"/>
        <w:spacing w:lineRule="auto" w:line="290" w:before="1" w:after="0"/>
        <w:ind w:hanging="0" w:left="136" w:right="135"/>
        <w:jc w:val="both"/>
        <w:rPr>
          <w:rFonts w:ascii="Helvetica Neue" w:hAnsi="Helvetica Neue"/>
          <w:sz w:val="24"/>
          <w:szCs w:val="24"/>
        </w:rPr>
      </w:pPr>
      <w:r>
        <w:rPr>
          <w:rFonts w:eastAsia="Songti SC" w:cs="Arial Unicode MS" w:ascii="Helvetica Neue" w:hAnsi="Helvetica Neue"/>
          <w:b/>
          <w:bCs/>
          <w:color w:val="auto"/>
          <w:kern w:val="2"/>
          <w:sz w:val="24"/>
          <w:szCs w:val="24"/>
          <w:lang w:val="cs-CZ" w:eastAsia="zh-CN" w:bidi="hi-IN"/>
        </w:rPr>
        <w:t>2.5. Soustřeďovací body</w:t>
      </w:r>
      <w:r>
        <w:rPr>
          <w:rFonts w:eastAsia="Songti SC" w:cs="Arial Unicode MS" w:ascii="Helvetica Neue" w:hAnsi="Helvetica Neue"/>
          <w:color w:val="auto"/>
          <w:kern w:val="2"/>
          <w:sz w:val="24"/>
          <w:szCs w:val="24"/>
          <w:lang w:val="cs-CZ" w:eastAsia="zh-CN" w:bidi="hi-IN"/>
        </w:rPr>
        <w:t xml:space="preserve"> jsou realizovány vždy nadzemní rozvaděči typu Micos ORU5-SDF-SIS nebo obdobném, případně v 19“ ODF v nichž jsou jednotlivá vlákna z připojených adresních míst terminována konektory LC-APC. V nerackových optických rozvaděčích jsou k umisťování splitterů určeny šachty typu LGX </w:t>
      </w:r>
      <w:r>
        <w:rPr>
          <w:rFonts w:eastAsia="Songti SC" w:cs="Arial Unicode MS" w:ascii="Helvetica Neue" w:hAnsi="Helvetica Neue"/>
          <w:color w:val="000000"/>
          <w:kern w:val="2"/>
          <w:sz w:val="24"/>
          <w:szCs w:val="24"/>
          <w:shd w:fill="auto" w:val="clear"/>
          <w:lang w:val="cs-CZ" w:eastAsia="zh-CN" w:bidi="hi-IN"/>
        </w:rPr>
        <w:t>– rozvaděč má celkem 5 těchto šachet.</w:t>
      </w:r>
      <w:r>
        <w:rPr>
          <w:rFonts w:eastAsia="Songti SC" w:cs="Arial Unicode MS" w:ascii="Helvetica Neue" w:hAnsi="Helvetica Neue"/>
          <w:color w:val="auto"/>
          <w:kern w:val="2"/>
          <w:sz w:val="24"/>
          <w:szCs w:val="24"/>
          <w:lang w:val="cs-CZ" w:eastAsia="zh-CN" w:bidi="hi-IN"/>
        </w:rPr>
        <w:t xml:space="preserve"> Každému Partnerovi, využívajícímu nájem pasivní sítě, je k dispozici jedna tato šachta. Pokud z nějakého důvodu požaduje umístit více splitterů, je třeba zvolit modul s více splittery. </w:t>
      </w:r>
      <w:r>
        <w:rPr>
          <w:rFonts w:eastAsia="Songti SC" w:cs="Arial Unicode MS" w:ascii="Helvetica Neue" w:hAnsi="Helvetica Neue"/>
          <w:color w:val="000000"/>
          <w:kern w:val="2"/>
          <w:sz w:val="24"/>
          <w:szCs w:val="24"/>
          <w:shd w:fill="auto" w:val="clear"/>
          <w:lang w:val="cs-CZ" w:eastAsia="zh-CN" w:bidi="hi-IN"/>
        </w:rPr>
        <w:t>Mezi soustřeďovacími uzly je veden dostatečný počet vláken pro velkoobchodní nabídku  (min. 2 rezervní vlákna na každé jedno vlákno využívané Sprintel, často ale více). Zakončen konektorem je minimální počet stanovený podmínkami dotace (3 rezervní vlákna v páteřních úsecích a 2 rezervní vlákna v distribuční části na každé vlákno využívané Sprintel). V případě zájmu o využití nezakončených vláken je nutné individuální posouzení zejména s ohledem na omezenou kapacitu rozvaděčů.</w:t>
      </w:r>
    </w:p>
    <w:p>
      <w:pPr>
        <w:pStyle w:val="BodyText"/>
        <w:spacing w:lineRule="auto" w:line="290" w:before="1" w:after="0"/>
        <w:ind w:hanging="0" w:left="136" w:right="135"/>
        <w:jc w:val="both"/>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BodyText"/>
        <w:spacing w:lineRule="auto" w:line="290" w:before="1" w:after="0"/>
        <w:ind w:hanging="0" w:left="136" w:right="135"/>
        <w:jc w:val="both"/>
        <w:rPr>
          <w:rFonts w:ascii="Helvetica Neue" w:hAnsi="Helvetica Neue"/>
          <w:sz w:val="24"/>
          <w:szCs w:val="24"/>
        </w:rPr>
      </w:pPr>
      <w:r>
        <w:rPr>
          <w:rFonts w:eastAsia="Songti SC" w:cs="Arial Unicode MS" w:ascii="Helvetica Neue" w:hAnsi="Helvetica Neue"/>
          <w:b/>
          <w:bCs/>
          <w:color w:val="auto"/>
          <w:kern w:val="2"/>
          <w:sz w:val="24"/>
          <w:szCs w:val="24"/>
          <w:lang w:val="cs-CZ" w:eastAsia="zh-CN" w:bidi="hi-IN"/>
        </w:rPr>
        <w:t>2.6. Propojovací uzly</w:t>
      </w:r>
      <w:r>
        <w:rPr>
          <w:rFonts w:eastAsia="Songti SC" w:cs="Arial Unicode MS" w:ascii="Helvetica Neue" w:hAnsi="Helvetica Neue"/>
          <w:color w:val="auto"/>
          <w:kern w:val="2"/>
          <w:sz w:val="24"/>
          <w:szCs w:val="24"/>
          <w:lang w:val="cs-CZ" w:eastAsia="zh-CN" w:bidi="hi-IN"/>
        </w:rPr>
        <w:t xml:space="preserve"> distribuční sítě jsou sloupkové rozvaděče typu Micos SNM 72 VS SIS nebo obdobné. V těchto rozvaděčích jsou klientské kabely propojeny svárem na distribuční kabely vedoucí do soustřeďovacích uzlů. Tyto vlákna nelze rozpojovat a do těchto rozvaděčů nelze nic umisťovat, proto ani nefigurují ve schématu topologie sítě.</w:t>
      </w:r>
    </w:p>
    <w:p>
      <w:pPr>
        <w:pStyle w:val="BodyText"/>
        <w:spacing w:lineRule="auto" w:line="290" w:before="1" w:after="0"/>
        <w:ind w:hanging="0" w:left="136" w:right="135"/>
        <w:jc w:val="both"/>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BodyText"/>
        <w:spacing w:lineRule="auto" w:line="290" w:before="1" w:after="0"/>
        <w:ind w:hanging="0" w:left="136" w:right="135"/>
        <w:jc w:val="both"/>
        <w:rPr>
          <w:highlight w:val="none"/>
          <w:shd w:fill="auto" w:val="clear"/>
        </w:rPr>
      </w:pPr>
      <w:r>
        <w:rPr>
          <w:shd w:fill="auto" w:val="clear"/>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b/>
          <w:bCs/>
          <w:color w:val="000000"/>
          <w:kern w:val="2"/>
          <w:sz w:val="24"/>
          <w:szCs w:val="24"/>
          <w:shd w:fill="auto" w:val="clear"/>
          <w:lang w:val="cs-CZ" w:eastAsia="zh-CN" w:bidi="hi-IN"/>
        </w:rPr>
        <w:t>2.7. Účastnické přípojky a účastnické distribuční body</w:t>
      </w:r>
      <w:r>
        <w:rPr>
          <w:rFonts w:eastAsia="Songti SC" w:cs="Arial Unicode MS" w:ascii="Helvetica Neue" w:hAnsi="Helvetica Neue"/>
          <w:color w:val="000000"/>
          <w:kern w:val="2"/>
          <w:sz w:val="24"/>
          <w:szCs w:val="24"/>
          <w:shd w:fill="auto" w:val="clear"/>
          <w:lang w:val="cs-CZ" w:eastAsia="zh-CN" w:bidi="hi-IN"/>
        </w:rPr>
        <w:t xml:space="preserve"> jsou řešeny takto: V budovách s evidovanou jednou bytovou jednotkou nebo bez evidované bytové jednotky je zafouknut kabel se dvěma vlákny. Jedno z nich tvoří rezervu určenou k poskytování velkoobchodní nabídky. Obě tyto vlákna jsou zakončena konektorem LC/APC. Tam, kde je evidován větší počet bytů než jeden, je umisťován malý distribuční rozvaděč a na adresní místo je zafouknut kabel se 4vl., z nichž 3 jsou zakončena konektorem LC/APC. Dvě z těchto tří vláken tvoří rezervu určenou k poskytování velkoobchodní nabídky. Kapacita soustřeďovacích a propojovacích uzlů není dimenzována na využití nezakončených vláken na adresní místa. Na adresních místech s dvěma a více byty se nachází distribuční rozvaděč sítě, do kterého lze umístit steel-tube splitter. V případě připojení 2 a více koncových účastníků Partnera (KÚP) je propojení Partnera do tohoto rozvaděče je poskytováno na základě přílohy 3b. Propojení z tohoto rozvaděče do bytu klienta je pak poskytováno na základě zpřístupnění úseku účastnického optického vedení. Při připojení jednoho koncového účastníka Partnera (KÚP) na adresním místě je přístup poskytován jako zpřístupnění účastnického vedení dle přílohy 3d, popř. jeho úseku do CP.</w:t>
      </w:r>
    </w:p>
    <w:p>
      <w:pPr>
        <w:pStyle w:val="BodyText"/>
        <w:spacing w:lineRule="auto" w:line="290" w:before="1" w:after="0"/>
        <w:ind w:hanging="0" w:left="136" w:right="135"/>
        <w:jc w:val="both"/>
        <w:rPr>
          <w:rFonts w:eastAsia="Songti SC" w:cs="Arial Unicode MS"/>
          <w:color w:val="auto"/>
          <w:kern w:val="2"/>
          <w:sz w:val="16"/>
          <w:szCs w:val="16"/>
          <w:highlight w:val="none"/>
          <w:shd w:fill="auto" w:val="clear"/>
          <w:lang w:val="cs-CZ" w:eastAsia="zh-CN" w:bidi="hi-IN"/>
        </w:rPr>
      </w:pPr>
      <w:r>
        <w:rPr>
          <w:rFonts w:eastAsia="Songti SC" w:cs="Arial Unicode MS"/>
          <w:color w:val="000000"/>
          <w:kern w:val="2"/>
          <w:sz w:val="16"/>
          <w:szCs w:val="16"/>
          <w:shd w:fill="auto" w:val="clear"/>
          <w:lang w:val="cs-CZ" w:eastAsia="zh-CN" w:bidi="hi-IN"/>
        </w:rPr>
      </w:r>
    </w:p>
    <w:p>
      <w:pPr>
        <w:pStyle w:val="BodyText"/>
        <w:spacing w:lineRule="auto" w:line="290" w:before="1" w:after="0"/>
        <w:ind w:hanging="0" w:left="136" w:right="135"/>
        <w:jc w:val="both"/>
        <w:rPr>
          <w:rFonts w:ascii="Helvetica Neue" w:hAnsi="Helvetica Neue"/>
          <w:sz w:val="24"/>
          <w:szCs w:val="24"/>
        </w:rPr>
      </w:pPr>
      <w:r>
        <w:rPr>
          <w:rFonts w:eastAsia="Songti SC" w:cs="Arial Unicode MS" w:ascii="Helvetica Neue" w:hAnsi="Helvetica Neue"/>
          <w:b/>
          <w:bCs/>
          <w:color w:val="auto"/>
          <w:kern w:val="2"/>
          <w:sz w:val="24"/>
          <w:szCs w:val="24"/>
          <w:lang w:val="cs-CZ" w:eastAsia="zh-CN" w:bidi="hi-IN"/>
        </w:rPr>
        <w:t>2.8. Aktivní body sítě (POPy)</w:t>
      </w:r>
      <w:r>
        <w:rPr>
          <w:rFonts w:eastAsia="Songti SC" w:cs="Arial Unicode MS" w:ascii="Helvetica Neue" w:hAnsi="Helvetica Neue"/>
          <w:color w:val="auto"/>
          <w:kern w:val="2"/>
          <w:sz w:val="24"/>
          <w:szCs w:val="24"/>
          <w:lang w:val="cs-CZ" w:eastAsia="zh-CN" w:bidi="hi-IN"/>
        </w:rPr>
        <w:t xml:space="preserve"> jsou řešeny takto:</w:t>
      </w:r>
    </w:p>
    <w:p>
      <w:pPr>
        <w:pStyle w:val="BodyText"/>
        <w:spacing w:lineRule="auto" w:line="290" w:before="1" w:after="0"/>
        <w:ind w:hanging="0" w:left="136" w:right="135"/>
        <w:jc w:val="both"/>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u w:val="single"/>
          <w:shd w:fill="auto" w:val="clear"/>
          <w:lang w:val="cs-CZ" w:eastAsia="zh-CN" w:bidi="hi-IN"/>
        </w:rPr>
        <w:t>naproti adresy Benátky 180, Štepánov – u garáže (Benátky-garáž)</w:t>
      </w:r>
    </w:p>
    <w:p>
      <w:pPr>
        <w:pStyle w:val="BodyText"/>
        <w:spacing w:lineRule="auto" w:line="290" w:before="1" w:after="0"/>
        <w:ind w:hanging="0" w:left="136" w:right="135"/>
        <w:jc w:val="both"/>
        <w:rPr>
          <w:rFonts w:eastAsia="Songti SC" w:cs="Arial Unicode MS"/>
          <w:color w:val="auto"/>
          <w:kern w:val="2"/>
          <w:sz w:val="16"/>
          <w:szCs w:val="16"/>
          <w:highlight w:val="none"/>
          <w:shd w:fill="FFFF00" w:val="clear"/>
          <w:lang w:val="cs-CZ" w:eastAsia="zh-CN" w:bidi="hi-IN"/>
        </w:rPr>
      </w:pPr>
      <w:r>
        <w:rPr>
          <w:rFonts w:eastAsia="Songti SC" w:cs="Arial Unicode MS"/>
          <w:color w:val="000000"/>
          <w:kern w:val="2"/>
          <w:sz w:val="16"/>
          <w:szCs w:val="16"/>
          <w:shd w:fill="FFFF00" w:val="clear"/>
          <w:lang w:val="cs-CZ" w:eastAsia="zh-CN" w:bidi="hi-IN"/>
        </w:rPr>
      </w:r>
    </w:p>
    <w:p>
      <w:pPr>
        <w:pStyle w:val="BodyText"/>
        <w:spacing w:lineRule="auto" w:line="290" w:before="1" w:after="0"/>
        <w:ind w:hanging="0" w:left="136" w:right="135"/>
        <w:jc w:val="both"/>
        <w:rPr>
          <w:highlight w:val="none"/>
          <w:shd w:fill="FFFF00" w:val="clear"/>
        </w:rPr>
      </w:pPr>
      <w:r>
        <w:rPr>
          <w:rFonts w:eastAsia="Songti SC" w:cs="Arial Unicode MS" w:ascii="Helvetica Neue" w:hAnsi="Helvetica Neue"/>
          <w:color w:val="000000"/>
          <w:kern w:val="2"/>
          <w:sz w:val="24"/>
          <w:szCs w:val="24"/>
          <w:shd w:fill="auto" w:val="clear"/>
          <w:lang w:val="cs-CZ" w:eastAsia="zh-CN" w:bidi="hi-IN"/>
        </w:rPr>
        <w:t>V tomto místě bude umístěna aktivní technologie pro Březce, Benátky i Sedlisko – XGS-PON OLT o výšce 1U a záložní zdroj. V místě je venkovní 19“ rozvaděč výšky min 30 U.  Tento rozvaděč není vhodný k umisťování serverů z důvodu hloubky, zázemí na site atd. Rozvaděč není dostatečně klimatizován pro umístění technologií s větší produkcí tepla. Partner však může využít kolokaci v uzlu RCO nebo jiný prostor, z nějž se do sítě propojí.</w:t>
      </w:r>
    </w:p>
    <w:p>
      <w:pPr>
        <w:pStyle w:val="BodyText"/>
        <w:spacing w:lineRule="auto" w:line="290" w:before="1" w:after="0"/>
        <w:ind w:hanging="0" w:left="136" w:right="135"/>
        <w:jc w:val="both"/>
        <w:rPr>
          <w:rFonts w:eastAsia="Songti SC" w:cs="Arial Unicode MS"/>
          <w:color w:val="auto"/>
          <w:kern w:val="2"/>
          <w:sz w:val="16"/>
          <w:szCs w:val="16"/>
          <w:highlight w:val="none"/>
          <w:shd w:fill="auto" w:val="clear"/>
          <w:lang w:val="cs-CZ" w:eastAsia="zh-CN" w:bidi="hi-IN"/>
        </w:rPr>
      </w:pPr>
      <w:r>
        <w:rPr>
          <w:rFonts w:eastAsia="Songti SC" w:cs="Arial Unicode MS"/>
          <w:color w:val="000000"/>
          <w:kern w:val="2"/>
          <w:sz w:val="16"/>
          <w:szCs w:val="16"/>
          <w:shd w:fill="auto" w:val="clear"/>
          <w:lang w:val="cs-CZ" w:eastAsia="zh-CN" w:bidi="hi-IN"/>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Kapacita umístěného OLT je v násobcích 10 Gbit/s až do 40 Gbit/s a potenciálně limitující je tak pouze kapacita přípojné sítě přivedená do lokality.</w:t>
      </w:r>
    </w:p>
    <w:p>
      <w:pPr>
        <w:pStyle w:val="BodyText"/>
        <w:spacing w:lineRule="auto" w:line="290" w:before="1" w:after="0"/>
        <w:ind w:hanging="0" w:left="136" w:right="135"/>
        <w:jc w:val="both"/>
        <w:rPr>
          <w:rFonts w:eastAsia="Songti SC" w:cs="Arial Unicode MS"/>
          <w:color w:val="auto"/>
          <w:kern w:val="2"/>
          <w:sz w:val="16"/>
          <w:szCs w:val="16"/>
          <w:highlight w:val="none"/>
          <w:shd w:fill="FFFF00" w:val="clear"/>
          <w:lang w:val="cs-CZ" w:eastAsia="zh-CN" w:bidi="hi-IN"/>
        </w:rPr>
      </w:pPr>
      <w:r>
        <w:rPr>
          <w:rFonts w:eastAsia="Songti SC" w:cs="Arial Unicode MS"/>
          <w:color w:val="000000"/>
          <w:kern w:val="2"/>
          <w:sz w:val="16"/>
          <w:szCs w:val="16"/>
          <w:shd w:fill="FFFF00" w:val="clear"/>
          <w:lang w:val="cs-CZ" w:eastAsia="zh-CN" w:bidi="hi-IN"/>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24"/>
          <w:szCs w:val="24"/>
          <w:u w:val="single"/>
          <w:shd w:fill="auto" w:val="clear"/>
          <w:lang w:val="cs-CZ" w:eastAsia="zh-CN" w:bidi="hi-IN"/>
        </w:rPr>
        <w:t>Jeremenkova 1211/40b, Olomouc - Hodolany</w:t>
      </w:r>
    </w:p>
    <w:p>
      <w:pPr>
        <w:pStyle w:val="BodyText"/>
        <w:spacing w:lineRule="auto" w:line="290" w:before="1" w:after="0"/>
        <w:ind w:hanging="0" w:left="136" w:right="135"/>
        <w:jc w:val="both"/>
        <w:rPr>
          <w:rFonts w:eastAsia="Songti SC" w:cs="Arial Unicode MS"/>
          <w:color w:val="auto"/>
          <w:kern w:val="2"/>
          <w:sz w:val="16"/>
          <w:szCs w:val="16"/>
          <w:highlight w:val="none"/>
          <w:shd w:fill="auto" w:val="clear"/>
          <w:lang w:val="cs-CZ" w:eastAsia="zh-CN" w:bidi="hi-IN"/>
        </w:rPr>
      </w:pPr>
      <w:r>
        <w:rPr>
          <w:rFonts w:eastAsia="Songti SC" w:cs="Arial Unicode MS"/>
          <w:color w:val="000000"/>
          <w:kern w:val="2"/>
          <w:sz w:val="16"/>
          <w:szCs w:val="16"/>
          <w:shd w:fill="auto" w:val="clear"/>
          <w:lang w:val="cs-CZ" w:eastAsia="zh-CN" w:bidi="hi-IN"/>
        </w:rPr>
      </w:r>
    </w:p>
    <w:p>
      <w:pPr>
        <w:pStyle w:val="BodyText"/>
        <w:spacing w:lineRule="auto" w:line="290" w:before="1" w:after="0"/>
        <w:ind w:hanging="0" w:left="136" w:right="135"/>
        <w:jc w:val="both"/>
        <w:rPr>
          <w:highlight w:val="none"/>
          <w:shd w:fill="FFFF00" w:val="clear"/>
        </w:rPr>
      </w:pPr>
      <w:r>
        <w:rPr>
          <w:rFonts w:eastAsia="Songti SC" w:cs="Arial Unicode MS" w:ascii="Helvetica Neue" w:hAnsi="Helvetica Neue"/>
          <w:color w:val="000000"/>
          <w:kern w:val="2"/>
          <w:sz w:val="24"/>
          <w:szCs w:val="24"/>
          <w:shd w:fill="auto" w:val="clear"/>
          <w:lang w:val="cs-CZ" w:eastAsia="zh-CN" w:bidi="hi-IN"/>
        </w:rPr>
        <w:t>V tomto místě nachází páteřní uzel sítě Sprintel tvoří součást hlavního optického okruhu propojeného dvěma trasami (severní a jižní) do dvou pražských datacenter. V této budově má Sprintel k dispozici 19“ rozvaděč s volnou kapacitou vč. záložního zdroje. V budově je také řada jiných možností kolokace a nachází se tam uzly sítě většiny operátorů, kteří působí v regionu.</w:t>
      </w:r>
      <w:r>
        <w:rPr>
          <w:rFonts w:eastAsia="Songti SC" w:cs="Arial Unicode MS" w:ascii="Helvetica Neue" w:hAnsi="Helvetica Neue"/>
          <w:color w:val="000000"/>
          <w:kern w:val="2"/>
          <w:sz w:val="24"/>
          <w:szCs w:val="24"/>
          <w:shd w:fill="FFFF00" w:val="clear"/>
          <w:lang w:val="cs-CZ" w:eastAsia="zh-CN" w:bidi="hi-IN"/>
        </w:rPr>
        <w:t xml:space="preserve"> </w:t>
      </w:r>
    </w:p>
    <w:p>
      <w:pPr>
        <w:pStyle w:val="BodyText"/>
        <w:spacing w:lineRule="auto" w:line="290" w:before="1" w:after="0"/>
        <w:ind w:hanging="0" w:left="136" w:right="135"/>
        <w:jc w:val="both"/>
        <w:rPr>
          <w:highlight w:val="none"/>
          <w:shd w:fill="FFFF00" w:val="clear"/>
        </w:rPr>
      </w:pPr>
      <w:r>
        <w:rPr>
          <w:shd w:fill="FFFF00" w:val="clear"/>
        </w:rPr>
      </w:r>
    </w:p>
    <w:p>
      <w:pPr>
        <w:pStyle w:val="BodyText"/>
        <w:spacing w:lineRule="auto" w:line="290" w:before="1" w:after="0"/>
        <w:ind w:hanging="0" w:left="136" w:right="135"/>
        <w:jc w:val="both"/>
        <w:rPr>
          <w:rFonts w:ascii="Helvetica Neue" w:hAnsi="Helvetica Neue"/>
          <w:sz w:val="36"/>
          <w:szCs w:val="36"/>
        </w:rPr>
      </w:pPr>
      <w:r>
        <w:rPr>
          <w:rFonts w:ascii="Helvetica Neue" w:hAnsi="Helvetica Neue"/>
          <w:sz w:val="36"/>
          <w:szCs w:val="36"/>
        </w:rPr>
      </w:r>
      <w:r>
        <w:br w:type="page"/>
      </w:r>
    </w:p>
    <w:p>
      <w:pPr>
        <w:pStyle w:val="BodyText"/>
        <w:spacing w:lineRule="auto" w:line="290" w:before="0" w:after="0"/>
        <w:ind w:hanging="0" w:left="136" w:right="135"/>
        <w:jc w:val="both"/>
        <w:rPr>
          <w:rFonts w:ascii="Helvetica Neue" w:hAnsi="Helvetica Neue"/>
          <w:sz w:val="36"/>
          <w:szCs w:val="36"/>
        </w:rPr>
      </w:pPr>
      <w:r>
        <w:rPr>
          <w:rFonts w:ascii="Helvetica Neue" w:hAnsi="Helvetica Neue"/>
          <w:sz w:val="36"/>
          <w:szCs w:val="36"/>
        </w:rPr>
      </w:r>
    </w:p>
    <w:p>
      <w:pPr>
        <w:pStyle w:val="BodyText"/>
        <w:spacing w:lineRule="auto" w:line="290" w:before="1" w:after="0"/>
        <w:ind w:hanging="0" w:left="136" w:right="135"/>
        <w:jc w:val="both"/>
        <w:rPr>
          <w:rFonts w:ascii="Helvetica Neue" w:hAnsi="Helvetica Neue"/>
          <w:sz w:val="36"/>
          <w:szCs w:val="36"/>
        </w:rPr>
      </w:pPr>
      <w:r>
        <w:rPr>
          <w:rFonts w:eastAsia="Songti SC" w:cs="Arial Unicode MS" w:ascii="Helvetica Neue" w:hAnsi="Helvetica Neue"/>
          <w:color w:val="auto"/>
          <w:kern w:val="2"/>
          <w:sz w:val="36"/>
          <w:szCs w:val="36"/>
          <w:lang w:val="cs-CZ" w:eastAsia="zh-CN" w:bidi="hi-IN"/>
        </w:rPr>
        <w:t>3. Seznam lokalit</w:t>
      </w:r>
    </w:p>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p>
    <w:tbl>
      <w:tblPr>
        <w:tblW w:w="9645" w:type="dxa"/>
        <w:jc w:val="left"/>
        <w:tblInd w:w="-5" w:type="dxa"/>
        <w:tblLayout w:type="fixed"/>
        <w:tblCellMar>
          <w:top w:w="55" w:type="dxa"/>
          <w:left w:w="55" w:type="dxa"/>
          <w:bottom w:w="55" w:type="dxa"/>
          <w:right w:w="55" w:type="dxa"/>
        </w:tblCellMar>
      </w:tblPr>
      <w:tblGrid>
        <w:gridCol w:w="3120"/>
        <w:gridCol w:w="1634"/>
        <w:gridCol w:w="1766"/>
        <w:gridCol w:w="1522"/>
        <w:gridCol w:w="1603"/>
      </w:tblGrid>
      <w:tr>
        <w:trPr/>
        <w:tc>
          <w:tcPr>
            <w:tcW w:w="3120" w:type="dxa"/>
            <w:tcBorders>
              <w:top w:val="single" w:sz="4" w:space="0" w:color="CCCCCC"/>
              <w:left w:val="single" w:sz="4" w:space="0" w:color="CCCCCC"/>
              <w:bottom w:val="single" w:sz="4" w:space="0" w:color="CCCCCC"/>
            </w:tcBorders>
          </w:tcPr>
          <w:p>
            <w:pPr>
              <w:pStyle w:val="Obsahtabulky"/>
              <w:widowControl w:val="false"/>
              <w:rPr>
                <w:rFonts w:ascii="Helvetica Neue" w:hAnsi="Helvetica Neue"/>
                <w:b/>
                <w:bCs/>
              </w:rPr>
            </w:pPr>
            <w:r>
              <w:rPr>
                <w:rFonts w:eastAsia="Songti SC" w:cs="Arial Unicode MS" w:ascii="Helvetica Neue" w:hAnsi="Helvetica Neue"/>
                <w:b/>
                <w:bCs/>
                <w:color w:val="auto"/>
                <w:kern w:val="2"/>
                <w:sz w:val="24"/>
                <w:szCs w:val="24"/>
                <w:lang w:val="cs-CZ" w:eastAsia="zh-CN" w:bidi="hi-IN"/>
              </w:rPr>
              <w:t>Lokalita</w:t>
            </w:r>
          </w:p>
        </w:tc>
        <w:tc>
          <w:tcPr>
            <w:tcW w:w="1634" w:type="dxa"/>
            <w:tcBorders>
              <w:top w:val="single" w:sz="4" w:space="0" w:color="CCCCCC"/>
              <w:left w:val="single" w:sz="4" w:space="0" w:color="CCCCCC"/>
              <w:bottom w:val="single" w:sz="4" w:space="0" w:color="CCCCCC"/>
            </w:tcBorders>
          </w:tcPr>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Počet</w:t>
            </w:r>
          </w:p>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soustř.</w:t>
            </w:r>
          </w:p>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uzlů</w:t>
            </w:r>
          </w:p>
        </w:tc>
        <w:tc>
          <w:tcPr>
            <w:tcW w:w="1766" w:type="dxa"/>
            <w:tcBorders>
              <w:top w:val="single" w:sz="4" w:space="0" w:color="CCCCCC"/>
              <w:left w:val="single" w:sz="4" w:space="0" w:color="CCCCCC"/>
              <w:bottom w:val="single" w:sz="4" w:space="0" w:color="CCCCCC"/>
            </w:tcBorders>
          </w:tcPr>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Počet</w:t>
            </w:r>
          </w:p>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akt. uzlů (POPů)</w:t>
            </w:r>
          </w:p>
        </w:tc>
        <w:tc>
          <w:tcPr>
            <w:tcW w:w="1522" w:type="dxa"/>
            <w:tcBorders>
              <w:top w:val="single" w:sz="4" w:space="0" w:color="CCCCCC"/>
              <w:left w:val="single" w:sz="4" w:space="0" w:color="CCCCCC"/>
              <w:bottom w:val="single" w:sz="4" w:space="0" w:color="CCCCCC"/>
            </w:tcBorders>
          </w:tcPr>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Počet</w:t>
            </w:r>
          </w:p>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dispon.</w:t>
            </w:r>
          </w:p>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adres</w:t>
            </w:r>
          </w:p>
        </w:tc>
        <w:tc>
          <w:tcPr>
            <w:tcW w:w="1603" w:type="dxa"/>
            <w:tcBorders>
              <w:top w:val="single" w:sz="4" w:space="0" w:color="CCCCCC"/>
              <w:left w:val="single" w:sz="4" w:space="0" w:color="CCCCCC"/>
              <w:bottom w:val="single" w:sz="4" w:space="0" w:color="CCCCCC"/>
              <w:right w:val="single" w:sz="4" w:space="0" w:color="CCCCCC"/>
            </w:tcBorders>
          </w:tcPr>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Počet</w:t>
            </w:r>
          </w:p>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bytů na</w:t>
            </w:r>
          </w:p>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dispon.</w:t>
            </w:r>
          </w:p>
          <w:p>
            <w:pPr>
              <w:pStyle w:val="Obsahtabulky"/>
              <w:widowControl w:val="false"/>
              <w:rPr>
                <w:rFonts w:ascii="Helvetica Neue" w:hAnsi="Helvetica Neue"/>
                <w:b/>
                <w:bCs/>
                <w:sz w:val="22"/>
                <w:szCs w:val="22"/>
              </w:rPr>
            </w:pPr>
            <w:r>
              <w:rPr>
                <w:rFonts w:eastAsia="Songti SC" w:cs="Arial Unicode MS" w:ascii="Helvetica Neue" w:hAnsi="Helvetica Neue"/>
                <w:b/>
                <w:bCs/>
                <w:color w:val="auto"/>
                <w:kern w:val="2"/>
                <w:sz w:val="22"/>
                <w:szCs w:val="22"/>
                <w:lang w:val="cs-CZ" w:eastAsia="zh-CN" w:bidi="hi-IN"/>
              </w:rPr>
              <w:t>adresách</w:t>
            </w:r>
          </w:p>
        </w:tc>
      </w:tr>
      <w:tr>
        <w:trPr/>
        <w:tc>
          <w:tcPr>
            <w:tcW w:w="3120" w:type="dxa"/>
            <w:tcBorders>
              <w:left w:val="single" w:sz="4" w:space="0" w:color="CCCCCC"/>
              <w:bottom w:val="single" w:sz="4" w:space="0" w:color="CCCCCC"/>
            </w:tcBorders>
          </w:tcPr>
          <w:p>
            <w:pPr>
              <w:pStyle w:val="Obsahtabulky"/>
              <w:widowControl w:val="false"/>
              <w:rPr>
                <w:rFonts w:ascii="Helvetica Neue" w:hAnsi="Helvetica Neue"/>
                <w:b/>
                <w:bCs/>
              </w:rPr>
            </w:pPr>
            <w:r>
              <w:rPr>
                <w:rFonts w:ascii="Helvetica Neue" w:hAnsi="Helvetica Neue"/>
                <w:b/>
                <w:bCs/>
              </w:rPr>
              <w:t>Březce</w:t>
            </w:r>
          </w:p>
          <w:p>
            <w:pPr>
              <w:pStyle w:val="Obsahtabulky"/>
              <w:widowControl w:val="false"/>
              <w:rPr>
                <w:rFonts w:ascii="Helvetica Neue" w:hAnsi="Helvetica Neue"/>
              </w:rPr>
            </w:pPr>
            <w:r>
              <w:rPr>
                <w:rFonts w:ascii="Helvetica Neue" w:hAnsi="Helvetica Neue"/>
              </w:rPr>
              <w:t>(část města Štěpánova)</w:t>
            </w:r>
          </w:p>
          <w:p>
            <w:pPr>
              <w:pStyle w:val="Obsahtabulky"/>
              <w:widowControl w:val="false"/>
              <w:rPr>
                <w:rFonts w:ascii="Helvetica Neue" w:hAnsi="Helvetica Neue"/>
              </w:rPr>
            </w:pPr>
            <w:r>
              <w:rPr>
                <w:rFonts w:ascii="Helvetica Neue" w:hAnsi="Helvetica Neue"/>
              </w:rPr>
              <w:t>ZSJ: 163414 Březce</w:t>
            </w:r>
          </w:p>
        </w:tc>
        <w:tc>
          <w:tcPr>
            <w:tcW w:w="1634" w:type="dxa"/>
            <w:tcBorders>
              <w:left w:val="single" w:sz="4" w:space="0" w:color="CCCCCC"/>
              <w:bottom w:val="single" w:sz="4" w:space="0" w:color="CCCCCC"/>
            </w:tcBorders>
          </w:tcPr>
          <w:p>
            <w:pPr>
              <w:pStyle w:val="Obsahtabulky"/>
              <w:widowControl w:val="false"/>
              <w:jc w:val="center"/>
              <w:rPr>
                <w:rFonts w:ascii="Helvetica Neue" w:hAnsi="Helvetica Neue"/>
              </w:rPr>
            </w:pPr>
            <w:r>
              <w:rPr>
                <w:rFonts w:ascii="Helvetica Neue" w:hAnsi="Helvetica Neue"/>
              </w:rPr>
              <w:t>1</w:t>
            </w:r>
          </w:p>
        </w:tc>
        <w:tc>
          <w:tcPr>
            <w:tcW w:w="1766" w:type="dxa"/>
            <w:tcBorders>
              <w:left w:val="single" w:sz="4" w:space="0" w:color="CCCCCC"/>
              <w:bottom w:val="single" w:sz="4" w:space="0" w:color="CCCCCC"/>
            </w:tcBorders>
          </w:tcPr>
          <w:p>
            <w:pPr>
              <w:pStyle w:val="Obsahtabulky"/>
              <w:widowControl w:val="false"/>
              <w:jc w:val="center"/>
              <w:rPr>
                <w:rFonts w:ascii="Helvetica Neue" w:hAnsi="Helvetica Neue"/>
              </w:rPr>
            </w:pPr>
            <w:r>
              <w:rPr>
                <w:rFonts w:ascii="Helvetica Neue" w:hAnsi="Helvetica Neue"/>
              </w:rPr>
              <w:t>0</w:t>
            </w:r>
          </w:p>
        </w:tc>
        <w:tc>
          <w:tcPr>
            <w:tcW w:w="1522" w:type="dxa"/>
            <w:tcBorders>
              <w:left w:val="single" w:sz="4" w:space="0" w:color="CCCCCC"/>
              <w:bottom w:val="single" w:sz="4" w:space="0" w:color="CCCCCC"/>
            </w:tcBorders>
          </w:tcPr>
          <w:p>
            <w:pPr>
              <w:pStyle w:val="Obsahtabulky"/>
              <w:widowControl w:val="false"/>
              <w:jc w:val="center"/>
              <w:rPr>
                <w:rFonts w:ascii="Helvetica Neue" w:hAnsi="Helvetica Neue"/>
              </w:rPr>
            </w:pPr>
            <w:r>
              <w:rPr>
                <w:rFonts w:ascii="Helvetica Neue" w:hAnsi="Helvetica Neue"/>
              </w:rPr>
              <w:t>89</w:t>
            </w:r>
          </w:p>
        </w:tc>
        <w:tc>
          <w:tcPr>
            <w:tcW w:w="1603" w:type="dxa"/>
            <w:tcBorders>
              <w:left w:val="single" w:sz="4" w:space="0" w:color="CCCCCC"/>
              <w:bottom w:val="single" w:sz="4" w:space="0" w:color="CCCCCC"/>
              <w:right w:val="single" w:sz="4" w:space="0" w:color="CCCCCC"/>
            </w:tcBorders>
          </w:tcPr>
          <w:p>
            <w:pPr>
              <w:pStyle w:val="Obsahtabulky"/>
              <w:widowControl w:val="false"/>
              <w:jc w:val="center"/>
              <w:rPr>
                <w:rFonts w:ascii="Helvetica Neue" w:hAnsi="Helvetica Neue"/>
              </w:rPr>
            </w:pPr>
            <w:r>
              <w:rPr>
                <w:rFonts w:ascii="Helvetica Neue" w:hAnsi="Helvetica Neue"/>
              </w:rPr>
              <w:t>101</w:t>
            </w:r>
          </w:p>
        </w:tc>
      </w:tr>
      <w:tr>
        <w:trPr/>
        <w:tc>
          <w:tcPr>
            <w:tcW w:w="3120" w:type="dxa"/>
            <w:tcBorders>
              <w:left w:val="single" w:sz="4" w:space="0" w:color="CCCCCC"/>
              <w:bottom w:val="single" w:sz="4" w:space="0" w:color="CCCCCC"/>
            </w:tcBorders>
          </w:tcPr>
          <w:p>
            <w:pPr>
              <w:pStyle w:val="Obsahtabulky"/>
              <w:widowControl w:val="false"/>
              <w:rPr>
                <w:rFonts w:ascii="Helvetica Neue" w:hAnsi="Helvetica Neue"/>
                <w:b/>
                <w:bCs/>
              </w:rPr>
            </w:pPr>
            <w:r>
              <w:rPr>
                <w:rFonts w:ascii="Helvetica Neue" w:hAnsi="Helvetica Neue"/>
                <w:b/>
                <w:bCs/>
              </w:rPr>
              <w:t>Benátky</w:t>
            </w:r>
          </w:p>
          <w:p>
            <w:pPr>
              <w:pStyle w:val="Obsahtabulky"/>
              <w:widowControl w:val="false"/>
              <w:rPr>
                <w:rFonts w:ascii="Helvetica Neue" w:hAnsi="Helvetica Neue"/>
              </w:rPr>
            </w:pPr>
            <w:r>
              <w:rPr>
                <w:rFonts w:ascii="Helvetica Neue" w:hAnsi="Helvetica Neue"/>
              </w:rPr>
              <w:t>(část města Štěpánova)</w:t>
            </w:r>
          </w:p>
          <w:p>
            <w:pPr>
              <w:pStyle w:val="Obsahtabulky"/>
              <w:widowControl w:val="false"/>
              <w:rPr>
                <w:rFonts w:ascii="Helvetica Neue" w:hAnsi="Helvetica Neue"/>
              </w:rPr>
            </w:pPr>
            <w:r>
              <w:rPr>
                <w:rFonts w:ascii="Helvetica Neue" w:hAnsi="Helvetica Neue"/>
              </w:rPr>
              <w:t>ZSJ: 98744 Benátky</w:t>
            </w:r>
          </w:p>
        </w:tc>
        <w:tc>
          <w:tcPr>
            <w:tcW w:w="1634" w:type="dxa"/>
            <w:tcBorders>
              <w:left w:val="single" w:sz="4" w:space="0" w:color="CCCCCC"/>
              <w:bottom w:val="single" w:sz="4" w:space="0" w:color="CCCCCC"/>
            </w:tcBorders>
          </w:tcPr>
          <w:p>
            <w:pPr>
              <w:pStyle w:val="Obsahtabulky"/>
              <w:widowControl w:val="false"/>
              <w:jc w:val="center"/>
              <w:rPr>
                <w:rFonts w:ascii="Helvetica Neue" w:hAnsi="Helvetica Neue"/>
              </w:rPr>
            </w:pPr>
            <w:r>
              <w:rPr>
                <w:rFonts w:ascii="Helvetica Neue" w:hAnsi="Helvetica Neue"/>
              </w:rPr>
              <w:t>1</w:t>
            </w:r>
          </w:p>
        </w:tc>
        <w:tc>
          <w:tcPr>
            <w:tcW w:w="1766" w:type="dxa"/>
            <w:tcBorders>
              <w:left w:val="single" w:sz="4" w:space="0" w:color="CCCCCC"/>
              <w:bottom w:val="single" w:sz="4" w:space="0" w:color="CCCCCC"/>
            </w:tcBorders>
          </w:tcPr>
          <w:p>
            <w:pPr>
              <w:pStyle w:val="Obsahtabulky"/>
              <w:widowControl w:val="false"/>
              <w:jc w:val="center"/>
              <w:rPr>
                <w:rFonts w:ascii="Helvetica Neue" w:hAnsi="Helvetica Neue"/>
              </w:rPr>
            </w:pPr>
            <w:r>
              <w:rPr>
                <w:rFonts w:ascii="Helvetica Neue" w:hAnsi="Helvetica Neue"/>
              </w:rPr>
              <w:t>1</w:t>
            </w:r>
          </w:p>
        </w:tc>
        <w:tc>
          <w:tcPr>
            <w:tcW w:w="1522" w:type="dxa"/>
            <w:tcBorders>
              <w:left w:val="single" w:sz="4" w:space="0" w:color="CCCCCC"/>
              <w:bottom w:val="single" w:sz="4" w:space="0" w:color="CCCCCC"/>
            </w:tcBorders>
          </w:tcPr>
          <w:p>
            <w:pPr>
              <w:pStyle w:val="Obsahtabulky"/>
              <w:widowControl w:val="false"/>
              <w:jc w:val="center"/>
              <w:rPr>
                <w:rFonts w:ascii="Helvetica Neue" w:hAnsi="Helvetica Neue"/>
              </w:rPr>
            </w:pPr>
            <w:r>
              <w:rPr>
                <w:rFonts w:ascii="Helvetica Neue" w:hAnsi="Helvetica Neue"/>
              </w:rPr>
              <w:t>32</w:t>
            </w:r>
          </w:p>
        </w:tc>
        <w:tc>
          <w:tcPr>
            <w:tcW w:w="1603" w:type="dxa"/>
            <w:tcBorders>
              <w:left w:val="single" w:sz="4" w:space="0" w:color="CCCCCC"/>
              <w:bottom w:val="single" w:sz="4" w:space="0" w:color="CCCCCC"/>
              <w:right w:val="single" w:sz="4" w:space="0" w:color="CCCCCC"/>
            </w:tcBorders>
          </w:tcPr>
          <w:p>
            <w:pPr>
              <w:pStyle w:val="Obsahtabulky"/>
              <w:widowControl w:val="false"/>
              <w:jc w:val="center"/>
              <w:rPr>
                <w:rFonts w:ascii="Helvetica Neue" w:hAnsi="Helvetica Neue"/>
              </w:rPr>
            </w:pPr>
            <w:r>
              <w:rPr>
                <w:rFonts w:ascii="Helvetica Neue" w:hAnsi="Helvetica Neue"/>
              </w:rPr>
              <w:t>36</w:t>
            </w:r>
          </w:p>
        </w:tc>
      </w:tr>
      <w:tr>
        <w:trPr/>
        <w:tc>
          <w:tcPr>
            <w:tcW w:w="3120" w:type="dxa"/>
            <w:tcBorders>
              <w:left w:val="single" w:sz="4" w:space="0" w:color="CCCCCC"/>
              <w:bottom w:val="single" w:sz="4" w:space="0" w:color="CCCCCC"/>
            </w:tcBorders>
          </w:tcPr>
          <w:p>
            <w:pPr>
              <w:pStyle w:val="Obsahtabulky"/>
              <w:widowControl w:val="false"/>
              <w:rPr>
                <w:rFonts w:ascii="Helvetica Neue" w:hAnsi="Helvetica Neue"/>
                <w:b/>
                <w:bCs/>
              </w:rPr>
            </w:pPr>
            <w:r>
              <w:rPr>
                <w:rFonts w:ascii="Helvetica Neue" w:hAnsi="Helvetica Neue"/>
                <w:b/>
                <w:bCs/>
              </w:rPr>
              <w:t>Sedlisko</w:t>
            </w:r>
          </w:p>
          <w:p>
            <w:pPr>
              <w:pStyle w:val="Obsahtabulky"/>
              <w:widowControl w:val="false"/>
              <w:rPr>
                <w:b w:val="false"/>
                <w:bCs w:val="false"/>
              </w:rPr>
            </w:pPr>
            <w:r>
              <w:rPr>
                <w:rFonts w:ascii="Helvetica Neue" w:hAnsi="Helvetica Neue"/>
                <w:b w:val="false"/>
                <w:bCs w:val="false"/>
              </w:rPr>
              <w:t>(část obce Horka nad Moravou)</w:t>
            </w:r>
          </w:p>
          <w:p>
            <w:pPr>
              <w:pStyle w:val="Obsahtabulky"/>
              <w:widowControl w:val="false"/>
              <w:rPr>
                <w:rFonts w:ascii="Helvetica Neue" w:hAnsi="Helvetica Neue"/>
              </w:rPr>
            </w:pPr>
            <w:r>
              <w:rPr>
                <w:rFonts w:ascii="Helvetica Neue" w:hAnsi="Helvetica Neue"/>
              </w:rPr>
              <w:t>ZSJ: 42072 Sedlisko</w:t>
            </w:r>
          </w:p>
        </w:tc>
        <w:tc>
          <w:tcPr>
            <w:tcW w:w="1634" w:type="dxa"/>
            <w:tcBorders>
              <w:left w:val="single" w:sz="4" w:space="0" w:color="CCCCCC"/>
              <w:bottom w:val="single" w:sz="4" w:space="0" w:color="CCCCCC"/>
            </w:tcBorders>
          </w:tcPr>
          <w:p>
            <w:pPr>
              <w:pStyle w:val="Obsahtabulky"/>
              <w:widowControl w:val="false"/>
              <w:jc w:val="center"/>
              <w:rPr>
                <w:rFonts w:ascii="Helvetica Neue" w:hAnsi="Helvetica Neue"/>
              </w:rPr>
            </w:pPr>
            <w:r>
              <w:rPr>
                <w:rFonts w:ascii="Helvetica Neue" w:hAnsi="Helvetica Neue"/>
              </w:rPr>
              <w:t>2</w:t>
            </w:r>
          </w:p>
        </w:tc>
        <w:tc>
          <w:tcPr>
            <w:tcW w:w="1766" w:type="dxa"/>
            <w:tcBorders>
              <w:left w:val="single" w:sz="4" w:space="0" w:color="CCCCCC"/>
              <w:bottom w:val="single" w:sz="4" w:space="0" w:color="CCCCCC"/>
            </w:tcBorders>
          </w:tcPr>
          <w:p>
            <w:pPr>
              <w:pStyle w:val="Obsahtabulky"/>
              <w:widowControl w:val="false"/>
              <w:jc w:val="center"/>
              <w:rPr>
                <w:rFonts w:ascii="Helvetica Neue" w:hAnsi="Helvetica Neue"/>
              </w:rPr>
            </w:pPr>
            <w:r>
              <w:rPr>
                <w:rFonts w:ascii="Helvetica Neue" w:hAnsi="Helvetica Neue"/>
              </w:rPr>
              <w:t>0</w:t>
            </w:r>
          </w:p>
        </w:tc>
        <w:tc>
          <w:tcPr>
            <w:tcW w:w="1522" w:type="dxa"/>
            <w:tcBorders>
              <w:left w:val="single" w:sz="4" w:space="0" w:color="CCCCCC"/>
              <w:bottom w:val="single" w:sz="4" w:space="0" w:color="CCCCCC"/>
            </w:tcBorders>
          </w:tcPr>
          <w:p>
            <w:pPr>
              <w:pStyle w:val="Obsahtabulky"/>
              <w:widowControl w:val="false"/>
              <w:jc w:val="center"/>
              <w:rPr>
                <w:rFonts w:ascii="Helvetica Neue" w:hAnsi="Helvetica Neue"/>
              </w:rPr>
            </w:pPr>
            <w:r>
              <w:rPr>
                <w:rFonts w:ascii="Helvetica Neue" w:hAnsi="Helvetica Neue"/>
              </w:rPr>
              <w:t>155</w:t>
            </w:r>
          </w:p>
        </w:tc>
        <w:tc>
          <w:tcPr>
            <w:tcW w:w="1603" w:type="dxa"/>
            <w:tcBorders>
              <w:left w:val="single" w:sz="4" w:space="0" w:color="CCCCCC"/>
              <w:bottom w:val="single" w:sz="4" w:space="0" w:color="CCCCCC"/>
              <w:right w:val="single" w:sz="4" w:space="0" w:color="CCCCCC"/>
            </w:tcBorders>
          </w:tcPr>
          <w:p>
            <w:pPr>
              <w:pStyle w:val="Obsahtabulky"/>
              <w:widowControl w:val="false"/>
              <w:jc w:val="center"/>
              <w:rPr>
                <w:rFonts w:ascii="Helvetica Neue" w:hAnsi="Helvetica Neue"/>
              </w:rPr>
            </w:pPr>
            <w:r>
              <w:rPr>
                <w:rFonts w:ascii="Helvetica Neue" w:hAnsi="Helvetica Neue"/>
              </w:rPr>
              <w:t>193</w:t>
            </w:r>
          </w:p>
        </w:tc>
      </w:tr>
    </w:tbl>
    <w:p>
      <w:pPr>
        <w:pStyle w:val="BodyText"/>
        <w:spacing w:lineRule="auto" w:line="290" w:before="1" w:after="0"/>
        <w:ind w:hanging="0" w:left="136" w:right="135"/>
        <w:jc w:val="both"/>
        <w:rPr>
          <w:rFonts w:eastAsia="Songti SC" w:cs="Arial Unicode MS"/>
          <w:color w:val="auto"/>
          <w:kern w:val="2"/>
          <w:lang w:val="cs-CZ" w:eastAsia="zh-CN" w:bidi="hi-IN"/>
        </w:rPr>
      </w:pPr>
      <w:r>
        <w:rPr>
          <w:rFonts w:eastAsia="Songti SC" w:cs="Arial Unicode MS"/>
          <w:color w:val="auto"/>
          <w:kern w:val="2"/>
          <w:lang w:val="cs-CZ" w:eastAsia="zh-CN" w:bidi="hi-IN"/>
        </w:rPr>
      </w:r>
      <w:r>
        <w:br w:type="page"/>
      </w:r>
    </w:p>
    <w:p>
      <w:pPr>
        <w:pStyle w:val="BodyText"/>
        <w:spacing w:lineRule="auto" w:line="290" w:before="0" w:after="0"/>
        <w:ind w:hanging="0" w:left="136" w:right="135"/>
        <w:jc w:val="both"/>
        <w:rPr>
          <w:sz w:val="16"/>
          <w:szCs w:val="16"/>
        </w:rPr>
      </w:pPr>
      <w:r>
        <w:rPr>
          <w:sz w:val="16"/>
          <w:szCs w:val="16"/>
        </w:rPr>
      </w:r>
    </w:p>
    <w:p>
      <w:pPr>
        <w:pStyle w:val="BodyText"/>
        <w:spacing w:lineRule="auto" w:line="290" w:before="1" w:after="0"/>
        <w:ind w:hanging="0" w:left="136" w:right="135"/>
        <w:jc w:val="both"/>
        <w:rPr>
          <w:highlight w:val="none"/>
          <w:shd w:fill="auto" w:val="clear"/>
        </w:rPr>
      </w:pPr>
      <w:r>
        <w:rPr>
          <w:rFonts w:eastAsia="Songti SC" w:cs="Arial Unicode MS" w:ascii="Helvetica Neue" w:hAnsi="Helvetica Neue"/>
          <w:color w:val="000000"/>
          <w:kern w:val="2"/>
          <w:sz w:val="36"/>
          <w:szCs w:val="36"/>
          <w:shd w:fill="auto" w:val="clear"/>
          <w:lang w:val="cs-CZ" w:eastAsia="zh-CN" w:bidi="hi-IN"/>
        </w:rPr>
        <w:t>4. Topologie/Hierarchie sítě</w:t>
      </w:r>
    </w:p>
    <w:p>
      <w:pPr>
        <w:pStyle w:val="BodyText"/>
        <w:spacing w:lineRule="auto" w:line="290" w:before="1" w:after="0"/>
        <w:ind w:hanging="0" w:left="136" w:right="135"/>
        <w:jc w:val="both"/>
        <w:rPr>
          <w:rFonts w:ascii="Helvetica Neue" w:hAnsi="Helvetica Neue" w:eastAsia="Songti SC" w:cs="Arial Unicode MS"/>
          <w:color w:val="000000"/>
          <w:kern w:val="2"/>
          <w:lang w:val="cs-CZ" w:eastAsia="zh-CN" w:bidi="hi-IN"/>
        </w:rPr>
      </w:pPr>
      <w:r>
        <w:rPr>
          <w:rFonts w:eastAsia="Songti SC" w:cs="Arial Unicode MS" w:ascii="Helvetica Neue" w:hAnsi="Helvetica Neue"/>
          <w:color w:val="000000"/>
          <w:kern w:val="2"/>
          <w:lang w:val="cs-CZ" w:eastAsia="zh-CN" w:bidi="hi-IN"/>
        </w:rPr>
      </w:r>
    </w:p>
    <w:p>
      <w:pPr>
        <w:pStyle w:val="BodyText"/>
        <w:spacing w:lineRule="auto" w:line="290" w:before="1" w:after="0"/>
        <w:ind w:hanging="0" w:left="136" w:right="135"/>
        <w:jc w:val="center"/>
        <w:rPr>
          <w:rFonts w:ascii="Helvetica Neue" w:hAnsi="Helvetica Neue"/>
          <w:sz w:val="16"/>
          <w:szCs w:val="16"/>
        </w:rPr>
      </w:pPr>
      <w:r>
        <w:rPr/>
        <w:drawing>
          <wp:inline distT="0" distB="0" distL="0" distR="0">
            <wp:extent cx="5288280" cy="7830185"/>
            <wp:effectExtent l="0" t="0" r="0" b="0"/>
            <wp:docPr id="3"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1" descr=""/>
                    <pic:cNvPicPr>
                      <a:picLocks noChangeAspect="1" noChangeArrowheads="1"/>
                    </pic:cNvPicPr>
                  </pic:nvPicPr>
                  <pic:blipFill>
                    <a:blip r:embed="rId4"/>
                    <a:stretch>
                      <a:fillRect/>
                    </a:stretch>
                  </pic:blipFill>
                  <pic:spPr bwMode="auto">
                    <a:xfrm>
                      <a:off x="0" y="0"/>
                      <a:ext cx="5288280" cy="7830185"/>
                    </a:xfrm>
                    <a:prstGeom prst="rect">
                      <a:avLst/>
                    </a:prstGeom>
                  </pic:spPr>
                </pic:pic>
              </a:graphicData>
            </a:graphic>
          </wp:inline>
        </w:drawing>
      </w:r>
    </w:p>
    <w:p>
      <w:pPr>
        <w:pStyle w:val="BodyText"/>
        <w:spacing w:lineRule="auto" w:line="290" w:before="1" w:after="0"/>
        <w:ind w:hanging="0" w:left="136" w:right="135"/>
        <w:jc w:val="both"/>
        <w:rPr>
          <w:rFonts w:ascii="Helvetica Neue" w:hAnsi="Helvetica Neue"/>
          <w:sz w:val="36"/>
          <w:szCs w:val="36"/>
        </w:rPr>
      </w:pPr>
      <w:r>
        <w:rPr>
          <w:rFonts w:ascii="Helvetica Neue" w:hAnsi="Helvetica Neue"/>
          <w:sz w:val="36"/>
          <w:szCs w:val="36"/>
        </w:rPr>
      </w:r>
    </w:p>
    <w:p>
      <w:pPr>
        <w:pStyle w:val="BodyText"/>
        <w:spacing w:lineRule="auto" w:line="290" w:before="1" w:after="0"/>
        <w:ind w:hanging="0" w:left="136" w:right="135"/>
        <w:jc w:val="both"/>
        <w:rPr>
          <w:rFonts w:ascii="Helvetica Neue" w:hAnsi="Helvetica Neue"/>
          <w:sz w:val="36"/>
          <w:szCs w:val="36"/>
        </w:rPr>
      </w:pPr>
      <w:r>
        <w:rPr>
          <w:rFonts w:eastAsia="Songti SC" w:cs="Arial Unicode MS" w:ascii="Helvetica Neue" w:hAnsi="Helvetica Neue"/>
          <w:color w:val="auto"/>
          <w:kern w:val="2"/>
          <w:sz w:val="36"/>
          <w:szCs w:val="36"/>
          <w:lang w:val="cs-CZ" w:eastAsia="zh-CN" w:bidi="hi-IN"/>
        </w:rPr>
        <w:t>4. Uzly sítě</w:t>
      </w:r>
    </w:p>
    <w:p>
      <w:pPr>
        <w:pStyle w:val="BodyText"/>
        <w:spacing w:lineRule="auto" w:line="290" w:before="1" w:after="0"/>
        <w:ind w:hanging="0" w:left="136" w:right="135"/>
        <w:jc w:val="both"/>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BodyText"/>
        <w:spacing w:lineRule="auto" w:line="290" w:before="1" w:after="0"/>
        <w:ind w:hanging="0" w:left="136" w:right="135"/>
        <w:jc w:val="both"/>
        <w:rPr>
          <w:rFonts w:ascii="Helvetica Neue" w:hAnsi="Helvetica Neue"/>
          <w:sz w:val="28"/>
          <w:szCs w:val="28"/>
        </w:rPr>
      </w:pPr>
      <w:r>
        <w:rPr>
          <w:rFonts w:eastAsia="Songti SC" w:cs="Arial Unicode MS" w:ascii="Helvetica Neue" w:hAnsi="Helvetica Neue"/>
          <w:color w:val="auto"/>
          <w:kern w:val="2"/>
          <w:sz w:val="28"/>
          <w:szCs w:val="28"/>
          <w:lang w:val="cs-CZ" w:eastAsia="zh-CN" w:bidi="hi-IN"/>
        </w:rPr>
        <w:t>4a. Předávací uzly velkoobchodní služby</w:t>
      </w:r>
    </w:p>
    <w:p>
      <w:pPr>
        <w:pStyle w:val="BodyText"/>
        <w:spacing w:lineRule="auto" w:line="290" w:before="1" w:after="0"/>
        <w:ind w:hanging="0" w:left="136" w:right="135"/>
        <w:jc w:val="both"/>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BodyText"/>
        <w:spacing w:lineRule="auto" w:line="290" w:before="1" w:after="0"/>
        <w:ind w:hanging="0" w:left="136" w:right="135"/>
        <w:jc w:val="both"/>
        <w:rPr>
          <w:rFonts w:ascii="Helvetica Neue" w:hAnsi="Helvetica Neue"/>
          <w:sz w:val="24"/>
          <w:szCs w:val="24"/>
        </w:rPr>
      </w:pPr>
      <w:r>
        <w:rPr>
          <w:rFonts w:eastAsia="Songti SC" w:cs="Arial Unicode MS" w:ascii="Helvetica Neue" w:hAnsi="Helvetica Neue"/>
          <w:color w:val="auto"/>
          <w:kern w:val="2"/>
          <w:sz w:val="24"/>
          <w:szCs w:val="24"/>
          <w:lang w:val="cs-CZ" w:eastAsia="zh-CN" w:bidi="hi-IN"/>
        </w:rPr>
        <w:t>Pro propojení se sítí partnera lze využít kterýkoliv soustřeďovací rozvaděč nebo níže uvedený POP. Službu Bitstream lze také předat v datacentrech CeColo a TTC, viz níže, za předpokladu pronájmu datové linky (viz příloha č. 8).</w:t>
      </w:r>
    </w:p>
    <w:p>
      <w:pPr>
        <w:pStyle w:val="BodyText"/>
        <w:spacing w:lineRule="auto" w:line="290" w:before="1" w:after="0"/>
        <w:ind w:hanging="0" w:left="136" w:right="135"/>
        <w:jc w:val="both"/>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tbl>
      <w:tblPr>
        <w:tblW w:w="9645" w:type="dxa"/>
        <w:jc w:val="left"/>
        <w:tblInd w:w="-5" w:type="dxa"/>
        <w:tblLayout w:type="fixed"/>
        <w:tblCellMar>
          <w:top w:w="55" w:type="dxa"/>
          <w:left w:w="55" w:type="dxa"/>
          <w:bottom w:w="55" w:type="dxa"/>
          <w:right w:w="55" w:type="dxa"/>
        </w:tblCellMar>
      </w:tblPr>
      <w:tblGrid>
        <w:gridCol w:w="1754"/>
        <w:gridCol w:w="1088"/>
        <w:gridCol w:w="3624"/>
        <w:gridCol w:w="3178"/>
      </w:tblGrid>
      <w:tr>
        <w:trPr/>
        <w:tc>
          <w:tcPr>
            <w:tcW w:w="1754" w:type="dxa"/>
            <w:tcBorders>
              <w:top w:val="single" w:sz="4" w:space="0" w:color="000000"/>
              <w:left w:val="single" w:sz="4" w:space="0" w:color="000000"/>
              <w:bottom w:val="single" w:sz="4" w:space="0" w:color="000000"/>
            </w:tcBorders>
          </w:tcPr>
          <w:p>
            <w:pPr>
              <w:pStyle w:val="Obsahtabulky"/>
              <w:widowControl w:val="false"/>
              <w:rPr>
                <w:b/>
                <w:bCs/>
              </w:rPr>
            </w:pPr>
            <w:r>
              <w:rPr>
                <w:rFonts w:ascii="Helvetica Neue" w:hAnsi="Helvetica Neue"/>
                <w:b/>
                <w:bCs/>
              </w:rPr>
              <w:t>Uzel</w:t>
            </w:r>
          </w:p>
        </w:tc>
        <w:tc>
          <w:tcPr>
            <w:tcW w:w="1088"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b/>
                <w:bCs/>
              </w:rPr>
            </w:pPr>
            <w:r>
              <w:rPr>
                <w:rFonts w:ascii="Helvetica Neue" w:hAnsi="Helvetica Neue"/>
                <w:b/>
                <w:bCs/>
              </w:rPr>
              <w:t>Typ</w:t>
            </w:r>
          </w:p>
        </w:tc>
        <w:tc>
          <w:tcPr>
            <w:tcW w:w="3624" w:type="dxa"/>
            <w:tcBorders>
              <w:top w:val="single" w:sz="4" w:space="0" w:color="000000"/>
              <w:left w:val="single" w:sz="4" w:space="0" w:color="000000"/>
              <w:bottom w:val="single" w:sz="4" w:space="0" w:color="000000"/>
            </w:tcBorders>
          </w:tcPr>
          <w:p>
            <w:pPr>
              <w:pStyle w:val="Obsahtabulky"/>
              <w:widowControl w:val="false"/>
              <w:rPr>
                <w:b/>
                <w:bCs/>
              </w:rPr>
            </w:pPr>
            <w:r>
              <w:rPr>
                <w:rFonts w:ascii="Helvetica Neue" w:hAnsi="Helvetica Neue"/>
                <w:b/>
                <w:bCs/>
              </w:rPr>
              <w:t>Adresa</w:t>
            </w:r>
          </w:p>
        </w:tc>
        <w:tc>
          <w:tcPr>
            <w:tcW w:w="3178" w:type="dxa"/>
            <w:tcBorders>
              <w:top w:val="single" w:sz="4" w:space="0" w:color="000000"/>
              <w:left w:val="single" w:sz="4" w:space="0" w:color="000000"/>
              <w:bottom w:val="single" w:sz="4" w:space="0" w:color="000000"/>
              <w:right w:val="single" w:sz="4" w:space="0" w:color="000000"/>
            </w:tcBorders>
          </w:tcPr>
          <w:p>
            <w:pPr>
              <w:pStyle w:val="Obsahtabulky"/>
              <w:widowControl w:val="false"/>
              <w:rPr>
                <w:b/>
                <w:bCs/>
              </w:rPr>
            </w:pPr>
            <w:r>
              <w:rPr>
                <w:rFonts w:ascii="Helvetica Neue" w:hAnsi="Helvetica Neue"/>
                <w:b/>
                <w:bCs/>
              </w:rPr>
              <w:t>GPS</w:t>
            </w:r>
          </w:p>
        </w:tc>
      </w:tr>
      <w:tr>
        <w:trPr/>
        <w:tc>
          <w:tcPr>
            <w:tcW w:w="1754" w:type="dxa"/>
            <w:tcBorders>
              <w:left w:val="single" w:sz="4" w:space="0" w:color="000000"/>
              <w:bottom w:val="single" w:sz="4" w:space="0" w:color="000000"/>
            </w:tcBorders>
          </w:tcPr>
          <w:p>
            <w:pPr>
              <w:pStyle w:val="Obsahtabulky"/>
              <w:widowControl w:val="false"/>
              <w:rPr>
                <w:rFonts w:ascii="Helvetica Neue" w:hAnsi="Helvetica Neue"/>
              </w:rPr>
            </w:pPr>
            <w:r>
              <w:rPr>
                <w:rFonts w:eastAsia="Songti SC" w:cs="Arial Unicode MS" w:ascii="Helvetica Neue" w:hAnsi="Helvetica Neue"/>
                <w:color w:val="auto"/>
                <w:kern w:val="2"/>
                <w:sz w:val="24"/>
                <w:szCs w:val="24"/>
                <w:lang w:val="cs-CZ" w:eastAsia="zh-CN" w:bidi="hi-IN"/>
              </w:rPr>
              <w:t>STEP01</w:t>
            </w:r>
          </w:p>
        </w:tc>
        <w:tc>
          <w:tcPr>
            <w:tcW w:w="1088"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PoP/CO</w:t>
            </w:r>
          </w:p>
        </w:tc>
        <w:tc>
          <w:tcPr>
            <w:tcW w:w="362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naproti adresy Benátky 180, Štepánov – u garáže</w:t>
            </w:r>
          </w:p>
        </w:tc>
        <w:tc>
          <w:tcPr>
            <w:tcW w:w="3178" w:type="dxa"/>
            <w:tcBorders>
              <w:left w:val="single" w:sz="4" w:space="0" w:color="000000"/>
              <w:bottom w:val="single" w:sz="4" w:space="0" w:color="000000"/>
              <w:right w:val="single" w:sz="4" w:space="0" w:color="000000"/>
            </w:tcBorders>
          </w:tcPr>
          <w:p>
            <w:pPr>
              <w:pStyle w:val="Obsahtabulky"/>
              <w:widowControl w:val="false"/>
              <w:rPr>
                <w:rFonts w:ascii="Helvetica Neue" w:hAnsi="Helvetica Neue"/>
              </w:rPr>
            </w:pPr>
            <w:r>
              <w:rPr>
                <w:rFonts w:ascii="Helvetica Neue" w:hAnsi="Helvetica Neue"/>
              </w:rPr>
              <w:t>Bude dopln</w:t>
            </w:r>
            <w:r>
              <w:rPr>
                <w:rFonts w:eastAsia="Songti SC" w:cs="Arial Unicode MS" w:ascii="Helvetica Neue" w:hAnsi="Helvetica Neue"/>
                <w:color w:val="auto"/>
                <w:kern w:val="2"/>
                <w:sz w:val="24"/>
                <w:szCs w:val="24"/>
                <w:lang w:val="cs-CZ" w:eastAsia="zh-CN" w:bidi="hi-IN"/>
              </w:rPr>
              <w:t>ěno po zaměření</w:t>
            </w:r>
          </w:p>
        </w:tc>
      </w:tr>
      <w:tr>
        <w:trPr/>
        <w:tc>
          <w:tcPr>
            <w:tcW w:w="175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STEP02</w:t>
            </w:r>
          </w:p>
        </w:tc>
        <w:tc>
          <w:tcPr>
            <w:tcW w:w="1088"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CP</w:t>
            </w:r>
          </w:p>
        </w:tc>
        <w:tc>
          <w:tcPr>
            <w:tcW w:w="3624" w:type="dxa"/>
            <w:tcBorders>
              <w:left w:val="single" w:sz="4" w:space="0" w:color="000000"/>
              <w:bottom w:val="single" w:sz="4" w:space="0" w:color="000000"/>
            </w:tcBorders>
          </w:tcPr>
          <w:p>
            <w:pPr>
              <w:pStyle w:val="Obsahtabulky"/>
              <w:widowControl w:val="false"/>
              <w:rPr>
                <w:rFonts w:ascii="Helvetica Neue" w:hAnsi="Helvetica Neue"/>
              </w:rPr>
            </w:pPr>
            <w:r>
              <w:rPr>
                <w:rFonts w:eastAsia="Songti SC" w:cs="Arial Unicode MS" w:ascii="Helvetica Neue" w:hAnsi="Helvetica Neue"/>
                <w:color w:val="auto"/>
                <w:kern w:val="2"/>
                <w:sz w:val="24"/>
                <w:szCs w:val="24"/>
                <w:lang w:val="cs-CZ" w:eastAsia="zh-CN" w:bidi="hi-IN"/>
              </w:rPr>
              <w:t>Březce 717, Štěpánov</w:t>
            </w:r>
          </w:p>
        </w:tc>
        <w:tc>
          <w:tcPr>
            <w:tcW w:w="3178" w:type="dxa"/>
            <w:tcBorders>
              <w:left w:val="single" w:sz="4" w:space="0" w:color="000000"/>
              <w:bottom w:val="single" w:sz="4" w:space="0" w:color="000000"/>
              <w:right w:val="single" w:sz="4" w:space="0" w:color="000000"/>
            </w:tcBorders>
          </w:tcPr>
          <w:p>
            <w:pPr>
              <w:pStyle w:val="Obsahtabulky"/>
              <w:widowControl w:val="false"/>
              <w:rPr>
                <w:rFonts w:ascii="Helvetica Neue" w:hAnsi="Helvetica Neue"/>
              </w:rPr>
            </w:pPr>
            <w:r>
              <w:rPr>
                <w:rFonts w:ascii="Helvetica Neue" w:hAnsi="Helvetica Neue"/>
              </w:rPr>
              <w:t>Bude dopln</w:t>
            </w:r>
            <w:r>
              <w:rPr>
                <w:rFonts w:eastAsia="Songti SC" w:cs="Arial Unicode MS" w:ascii="Helvetica Neue" w:hAnsi="Helvetica Neue"/>
                <w:color w:val="auto"/>
                <w:kern w:val="2"/>
                <w:sz w:val="24"/>
                <w:szCs w:val="24"/>
                <w:lang w:val="cs-CZ" w:eastAsia="zh-CN" w:bidi="hi-IN"/>
              </w:rPr>
              <w:t>ěno po zaměření</w:t>
            </w:r>
          </w:p>
        </w:tc>
      </w:tr>
      <w:tr>
        <w:trPr/>
        <w:tc>
          <w:tcPr>
            <w:tcW w:w="175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HNM001</w:t>
            </w:r>
          </w:p>
        </w:tc>
        <w:tc>
          <w:tcPr>
            <w:tcW w:w="1088"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CP</w:t>
            </w:r>
          </w:p>
        </w:tc>
        <w:tc>
          <w:tcPr>
            <w:tcW w:w="362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J. Fučíka 533/6, Horka nad Moravou</w:t>
            </w:r>
          </w:p>
        </w:tc>
        <w:tc>
          <w:tcPr>
            <w:tcW w:w="3178" w:type="dxa"/>
            <w:tcBorders>
              <w:left w:val="single" w:sz="4" w:space="0" w:color="000000"/>
              <w:bottom w:val="single" w:sz="4" w:space="0" w:color="000000"/>
              <w:right w:val="single" w:sz="4" w:space="0" w:color="000000"/>
            </w:tcBorders>
          </w:tcPr>
          <w:p>
            <w:pPr>
              <w:pStyle w:val="Obsahtabulky"/>
              <w:widowControl w:val="false"/>
              <w:rPr>
                <w:rFonts w:ascii="Helvetica Neue" w:hAnsi="Helvetica Neue"/>
              </w:rPr>
            </w:pPr>
            <w:r>
              <w:rPr>
                <w:rFonts w:ascii="Helvetica Neue" w:hAnsi="Helvetica Neue"/>
              </w:rPr>
              <w:t>Bude dopln</w:t>
            </w:r>
            <w:r>
              <w:rPr>
                <w:rFonts w:eastAsia="Songti SC" w:cs="Arial Unicode MS" w:ascii="Helvetica Neue" w:hAnsi="Helvetica Neue"/>
                <w:color w:val="auto"/>
                <w:kern w:val="2"/>
                <w:sz w:val="24"/>
                <w:szCs w:val="24"/>
                <w:lang w:val="cs-CZ" w:eastAsia="zh-CN" w:bidi="hi-IN"/>
              </w:rPr>
              <w:t>ěno po zaměření</w:t>
            </w:r>
          </w:p>
        </w:tc>
      </w:tr>
      <w:tr>
        <w:trPr/>
        <w:tc>
          <w:tcPr>
            <w:tcW w:w="175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HNM006</w:t>
            </w:r>
          </w:p>
        </w:tc>
        <w:tc>
          <w:tcPr>
            <w:tcW w:w="1088"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CP</w:t>
            </w:r>
          </w:p>
        </w:tc>
        <w:tc>
          <w:tcPr>
            <w:tcW w:w="3624" w:type="dxa"/>
            <w:tcBorders>
              <w:left w:val="single" w:sz="4" w:space="0" w:color="000000"/>
              <w:bottom w:val="single" w:sz="4" w:space="0" w:color="000000"/>
            </w:tcBorders>
          </w:tcPr>
          <w:p>
            <w:pPr>
              <w:pStyle w:val="Obsahtabulky"/>
              <w:widowControl w:val="false"/>
              <w:rPr>
                <w:rFonts w:ascii="Helvetica Neue" w:hAnsi="Helvetica Neue"/>
              </w:rPr>
            </w:pPr>
            <w:r>
              <w:rPr>
                <w:rFonts w:eastAsia="Songti SC" w:cs="Arial Unicode MS" w:ascii="Helvetica Neue" w:hAnsi="Helvetica Neue"/>
                <w:color w:val="auto"/>
                <w:kern w:val="2"/>
                <w:sz w:val="24"/>
                <w:szCs w:val="24"/>
                <w:lang w:val="cs-CZ" w:eastAsia="zh-CN" w:bidi="hi-IN"/>
              </w:rPr>
              <w:t>naproti Zahradní 456/1, Horka nad Moravou</w:t>
            </w:r>
          </w:p>
        </w:tc>
        <w:tc>
          <w:tcPr>
            <w:tcW w:w="3178" w:type="dxa"/>
            <w:tcBorders>
              <w:left w:val="single" w:sz="4" w:space="0" w:color="000000"/>
              <w:bottom w:val="single" w:sz="4" w:space="0" w:color="000000"/>
              <w:right w:val="single" w:sz="4" w:space="0" w:color="000000"/>
            </w:tcBorders>
          </w:tcPr>
          <w:p>
            <w:pPr>
              <w:pStyle w:val="Obsahtabulky"/>
              <w:widowControl w:val="false"/>
              <w:rPr>
                <w:rFonts w:ascii="Helvetica Neue" w:hAnsi="Helvetica Neue"/>
              </w:rPr>
            </w:pPr>
            <w:r>
              <w:rPr>
                <w:rFonts w:ascii="Helvetica Neue" w:hAnsi="Helvetica Neue"/>
              </w:rPr>
              <w:t>Bude dopln</w:t>
            </w:r>
            <w:r>
              <w:rPr>
                <w:rFonts w:eastAsia="Songti SC" w:cs="Arial Unicode MS" w:ascii="Helvetica Neue" w:hAnsi="Helvetica Neue"/>
                <w:color w:val="auto"/>
                <w:kern w:val="2"/>
                <w:sz w:val="24"/>
                <w:szCs w:val="24"/>
                <w:lang w:val="cs-CZ" w:eastAsia="zh-CN" w:bidi="hi-IN"/>
              </w:rPr>
              <w:t>ěno po zaměření</w:t>
            </w:r>
          </w:p>
        </w:tc>
      </w:tr>
      <w:tr>
        <w:trPr/>
        <w:tc>
          <w:tcPr>
            <w:tcW w:w="175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RCO</w:t>
            </w:r>
          </w:p>
        </w:tc>
        <w:tc>
          <w:tcPr>
            <w:tcW w:w="1088"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PoP</w:t>
            </w:r>
          </w:p>
        </w:tc>
        <w:tc>
          <w:tcPr>
            <w:tcW w:w="3624" w:type="dxa"/>
            <w:tcBorders>
              <w:left w:val="single" w:sz="4" w:space="0" w:color="000000"/>
              <w:bottom w:val="single" w:sz="4" w:space="0" w:color="000000"/>
            </w:tcBorders>
          </w:tcPr>
          <w:p>
            <w:pPr>
              <w:pStyle w:val="Obsahtabulky"/>
              <w:widowControl w:val="false"/>
              <w:rPr>
                <w:rFonts w:ascii="Helvetica Neue" w:hAnsi="Helvetica Neue"/>
              </w:rPr>
            </w:pPr>
            <w:r>
              <w:rPr>
                <w:rFonts w:eastAsia="Songti SC" w:cs="Arial Unicode MS" w:ascii="Helvetica Neue" w:hAnsi="Helvetica Neue"/>
                <w:color w:val="auto"/>
                <w:kern w:val="2"/>
                <w:sz w:val="24"/>
                <w:szCs w:val="24"/>
                <w:lang w:val="cs-CZ" w:eastAsia="zh-CN" w:bidi="hi-IN"/>
              </w:rPr>
              <w:t>Jeremenkova 1211/40b, Olomouc - Hodolany</w:t>
            </w:r>
          </w:p>
        </w:tc>
        <w:tc>
          <w:tcPr>
            <w:tcW w:w="3178" w:type="dxa"/>
            <w:tcBorders>
              <w:left w:val="single" w:sz="4" w:space="0" w:color="000000"/>
              <w:bottom w:val="single" w:sz="4" w:space="0" w:color="000000"/>
              <w:right w:val="single" w:sz="4" w:space="0" w:color="000000"/>
            </w:tcBorders>
          </w:tcPr>
          <w:p>
            <w:pPr>
              <w:pStyle w:val="Obsahtabulky"/>
              <w:widowControl w:val="false"/>
              <w:rPr>
                <w:rFonts w:ascii="Helvetica Neue" w:hAnsi="Helvetica Neue"/>
              </w:rPr>
            </w:pPr>
            <w:r>
              <w:rPr>
                <w:rFonts w:eastAsia="Songti SC" w:cs="Arial Unicode MS" w:ascii="Helvetica Neue" w:hAnsi="Helvetica Neue"/>
                <w:color w:val="auto"/>
                <w:kern w:val="2"/>
                <w:sz w:val="24"/>
                <w:szCs w:val="24"/>
                <w:lang w:val="cs-CZ" w:eastAsia="zh-CN" w:bidi="hi-IN"/>
              </w:rPr>
              <w:t>49.5907900N, 17.2774508E</w:t>
            </w:r>
          </w:p>
        </w:tc>
      </w:tr>
      <w:tr>
        <w:trPr/>
        <w:tc>
          <w:tcPr>
            <w:tcW w:w="175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CeColo</w:t>
            </w:r>
          </w:p>
          <w:p>
            <w:pPr>
              <w:pStyle w:val="Obsahtabulky"/>
              <w:widowControl w:val="false"/>
              <w:rPr>
                <w:rFonts w:ascii="Helvetica Neue" w:hAnsi="Helvetica Neue"/>
              </w:rPr>
            </w:pPr>
            <w:r>
              <w:rPr>
                <w:rFonts w:ascii="Helvetica Neue" w:hAnsi="Helvetica Neue"/>
              </w:rPr>
              <w:t>(jen Bitstream)</w:t>
            </w:r>
          </w:p>
        </w:tc>
        <w:tc>
          <w:tcPr>
            <w:tcW w:w="1088"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DC/BSP</w:t>
            </w:r>
          </w:p>
        </w:tc>
        <w:tc>
          <w:tcPr>
            <w:tcW w:w="362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shd w:fill="auto" w:val="clear"/>
              </w:rPr>
              <w:t>Nad Elektrárnou 1428/47, 106 00 Praha 10</w:t>
            </w:r>
          </w:p>
        </w:tc>
        <w:tc>
          <w:tcPr>
            <w:tcW w:w="3178" w:type="dxa"/>
            <w:tcBorders>
              <w:left w:val="single" w:sz="4" w:space="0" w:color="000000"/>
              <w:bottom w:val="single" w:sz="4" w:space="0" w:color="000000"/>
              <w:right w:val="single" w:sz="4" w:space="0" w:color="000000"/>
            </w:tcBorders>
          </w:tcPr>
          <w:p>
            <w:pPr>
              <w:pStyle w:val="Obsahtabulky"/>
              <w:widowControl w:val="false"/>
              <w:rPr>
                <w:rFonts w:ascii="Helvetica Neue" w:hAnsi="Helvetica Neue"/>
              </w:rPr>
            </w:pPr>
            <w:r>
              <w:rPr>
                <w:rFonts w:ascii="Helvetica Neue" w:hAnsi="Helvetica Neue"/>
                <w:shd w:fill="auto" w:val="clear"/>
              </w:rPr>
              <w:t>50.0603331N, 14.4832822E</w:t>
            </w:r>
          </w:p>
        </w:tc>
      </w:tr>
      <w:tr>
        <w:trPr/>
        <w:tc>
          <w:tcPr>
            <w:tcW w:w="175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shd w:fill="auto" w:val="clear"/>
              </w:rPr>
              <w:t>TTC1</w:t>
            </w:r>
          </w:p>
          <w:p>
            <w:pPr>
              <w:pStyle w:val="Obsahtabulky"/>
              <w:widowControl w:val="false"/>
              <w:rPr>
                <w:rFonts w:ascii="Helvetica Neue" w:hAnsi="Helvetica Neue"/>
              </w:rPr>
            </w:pPr>
            <w:r>
              <w:rPr>
                <w:rFonts w:ascii="Helvetica Neue" w:hAnsi="Helvetica Neue"/>
                <w:shd w:fill="auto" w:val="clear"/>
              </w:rPr>
              <w:t>(jen Bitstream)</w:t>
            </w:r>
          </w:p>
        </w:tc>
        <w:tc>
          <w:tcPr>
            <w:tcW w:w="1088" w:type="dxa"/>
            <w:tcBorders>
              <w:left w:val="single" w:sz="4" w:space="0" w:color="000000"/>
              <w:bottom w:val="single" w:sz="4" w:space="0" w:color="000000"/>
            </w:tcBorders>
          </w:tcPr>
          <w:p>
            <w:pPr>
              <w:pStyle w:val="Obsahtabulky"/>
              <w:widowControl w:val="false"/>
              <w:rPr>
                <w:rFonts w:ascii="Helvetica Neue" w:hAnsi="Helvetica Neue"/>
                <w:sz w:val="22"/>
                <w:szCs w:val="22"/>
                <w:highlight w:val="none"/>
                <w:shd w:fill="auto" w:val="clear"/>
              </w:rPr>
            </w:pPr>
            <w:r>
              <w:rPr>
                <w:rFonts w:ascii="Helvetica Neue" w:hAnsi="Helvetica Neue"/>
                <w:sz w:val="22"/>
                <w:szCs w:val="22"/>
                <w:shd w:fill="auto" w:val="clear"/>
              </w:rPr>
              <w:t>DC/BSP</w:t>
            </w:r>
          </w:p>
        </w:tc>
        <w:tc>
          <w:tcPr>
            <w:tcW w:w="362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shd w:fill="auto" w:val="clear"/>
              </w:rPr>
              <w:t>Tiskařská 257/10, 108 00 Praha 10 – Malešice</w:t>
            </w:r>
          </w:p>
        </w:tc>
        <w:tc>
          <w:tcPr>
            <w:tcW w:w="3178" w:type="dxa"/>
            <w:tcBorders>
              <w:left w:val="single" w:sz="4" w:space="0" w:color="000000"/>
              <w:bottom w:val="single" w:sz="4" w:space="0" w:color="000000"/>
              <w:right w:val="single" w:sz="4" w:space="0" w:color="000000"/>
            </w:tcBorders>
          </w:tcPr>
          <w:p>
            <w:pPr>
              <w:pStyle w:val="Obsahtabulky"/>
              <w:widowControl w:val="false"/>
              <w:rPr>
                <w:rFonts w:ascii="Helvetica Neue" w:hAnsi="Helvetica Neue"/>
              </w:rPr>
            </w:pPr>
            <w:r>
              <w:rPr>
                <w:rFonts w:ascii="Helvetica Neue" w:hAnsi="Helvetica Neue"/>
                <w:shd w:fill="auto" w:val="clear"/>
              </w:rPr>
              <w:t>50.0823633N, 14.5333753E</w:t>
            </w:r>
          </w:p>
        </w:tc>
      </w:tr>
    </w:tbl>
    <w:p>
      <w:pPr>
        <w:pStyle w:val="BodyText"/>
        <w:spacing w:lineRule="auto" w:line="290" w:before="1" w:after="0"/>
        <w:ind w:hanging="0" w:left="136" w:right="135"/>
        <w:jc w:val="both"/>
        <w:rPr>
          <w:sz w:val="32"/>
          <w:szCs w:val="32"/>
        </w:rPr>
      </w:pPr>
      <w:r>
        <w:rPr>
          <w:sz w:val="32"/>
          <w:szCs w:val="32"/>
        </w:rPr>
      </w:r>
    </w:p>
    <w:p>
      <w:pPr>
        <w:pStyle w:val="BodyText"/>
        <w:spacing w:lineRule="auto" w:line="290" w:before="1" w:after="0"/>
        <w:ind w:hanging="0" w:left="136" w:right="135"/>
        <w:jc w:val="both"/>
        <w:rPr>
          <w:rFonts w:ascii="Helvetica Neue" w:hAnsi="Helvetica Neue"/>
          <w:sz w:val="28"/>
          <w:szCs w:val="28"/>
        </w:rPr>
      </w:pPr>
      <w:r>
        <w:rPr>
          <w:rFonts w:eastAsia="Songti SC" w:cs="Arial Unicode MS" w:ascii="Helvetica Neue" w:hAnsi="Helvetica Neue"/>
          <w:color w:val="auto"/>
          <w:kern w:val="2"/>
          <w:sz w:val="28"/>
          <w:szCs w:val="28"/>
          <w:lang w:val="cs-CZ" w:eastAsia="zh-CN" w:bidi="hi-IN"/>
        </w:rPr>
        <w:t>4b. Napájení aktivní uzlů</w:t>
      </w:r>
    </w:p>
    <w:p>
      <w:pPr>
        <w:pStyle w:val="BodyText"/>
        <w:spacing w:lineRule="auto" w:line="290" w:before="1" w:after="0"/>
        <w:ind w:hanging="0" w:left="136" w:right="135"/>
        <w:jc w:val="both"/>
        <w:rPr>
          <w:rFonts w:eastAsia="Songti SC" w:cs="Arial Unicode MS"/>
          <w:color w:val="auto"/>
          <w:kern w:val="2"/>
          <w:sz w:val="16"/>
          <w:szCs w:val="16"/>
          <w:highlight w:val="none"/>
          <w:shd w:fill="auto" w:val="clear"/>
          <w:lang w:val="cs-CZ" w:eastAsia="zh-CN" w:bidi="hi-IN"/>
        </w:rPr>
      </w:pPr>
      <w:r>
        <w:rPr>
          <w:rFonts w:eastAsia="Songti SC" w:cs="Arial Unicode MS"/>
          <w:color w:val="000000"/>
          <w:kern w:val="2"/>
          <w:sz w:val="16"/>
          <w:szCs w:val="16"/>
          <w:shd w:fill="auto" w:val="clear"/>
          <w:lang w:val="cs-CZ" w:eastAsia="zh-CN" w:bidi="hi-IN"/>
        </w:rPr>
      </w:r>
    </w:p>
    <w:p>
      <w:pPr>
        <w:pStyle w:val="BodyText"/>
        <w:spacing w:lineRule="auto" w:line="290" w:before="1" w:after="0"/>
        <w:ind w:hanging="0" w:left="136" w:right="135"/>
        <w:jc w:val="both"/>
        <w:rPr/>
      </w:pPr>
      <w:r>
        <w:rPr>
          <w:rFonts w:eastAsia="Songti SC" w:cs="Arial Unicode MS" w:ascii="Helvetica Neue" w:hAnsi="Helvetica Neue"/>
          <w:color w:val="000000"/>
          <w:kern w:val="2"/>
          <w:sz w:val="24"/>
          <w:szCs w:val="24"/>
          <w:shd w:fill="auto" w:val="clear"/>
          <w:lang w:val="cs-CZ" w:eastAsia="zh-CN" w:bidi="hi-IN"/>
        </w:rPr>
        <w:t>Aktivní prvky jsou napájeny v jednotlivých aktivních uzlech napětím 230V, 50 Hz. V každém takovém uzlu je osazena UPS 750VA. Výkon každé UPS je 480W a dostačuje pro zálohu min. 1,5 hodiny. To je i doba dojezdu technika v případě nutnosti zálohy pomocí agregátu. Celkem je zřízen jeden aktivní uzel s odběrem elektrické energie.</w:t>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Helvetica Neue">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napToGrid w:val="false"/>
      <w:jc w:val="left"/>
      <w:rPr/>
    </w:pPr>
    <w:r>
      <w:rPr/>
      <mc:AlternateContent>
        <mc:Choice Requires="wps">
          <w:drawing>
            <wp:anchor behindDoc="1" distT="635" distB="635" distL="635" distR="635" simplePos="0" locked="0" layoutInCell="1" allowOverlap="1" relativeHeight="15">
              <wp:simplePos x="0" y="0"/>
              <wp:positionH relativeFrom="column">
                <wp:posOffset>79375</wp:posOffset>
              </wp:positionH>
              <wp:positionV relativeFrom="paragraph">
                <wp:posOffset>79375</wp:posOffset>
              </wp:positionV>
              <wp:extent cx="6120130" cy="0"/>
              <wp:effectExtent l="635" t="635" r="635" b="635"/>
              <wp:wrapNone/>
              <wp:docPr id="6"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rFonts w:ascii="Helvetica Neue" w:hAnsi="Helvetica Neue"/>
            </w:rPr>
          </w:pPr>
          <w:r>
            <w:rPr>
              <w:rFonts w:ascii="Helvetica Neue" w:hAnsi="Helvetica Neue"/>
            </w:rPr>
            <w:t>P</w:t>
          </w:r>
          <w:r>
            <w:rPr>
              <w:rFonts w:eastAsia="Songti SC" w:cs="Arial Unicode MS" w:ascii="Helvetica Neue" w:hAnsi="Helvetica Neue"/>
              <w:color w:val="auto"/>
              <w:kern w:val="2"/>
              <w:sz w:val="24"/>
              <w:szCs w:val="24"/>
              <w:lang w:val="cs-CZ" w:eastAsia="zh-CN" w:bidi="hi-IN"/>
            </w:rPr>
            <w:t>říloha č. 2</w:t>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7</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7</w:t>
          </w:r>
          <w:r>
            <w:rPr>
              <w:rFonts w:ascii="Helvetica Neue" w:hAnsi="Helvetica Neue"/>
            </w:rPr>
            <w:fldChar w:fldCharType="end"/>
          </w:r>
        </w:p>
      </w:tc>
    </w:tr>
  </w:tbl>
  <w:p>
    <w:pPr>
      <w:pStyle w:val="Footer"/>
      <w:bidi w:val="0"/>
      <w:snapToGrid w:val="false"/>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left"/>
      <w:rPr>
        <w:sz w:val="4"/>
        <w:szCs w:val="4"/>
      </w:rPr>
    </w:pPr>
    <w:r>
      <w:rPr>
        <w:sz w:val="4"/>
        <w:szCs w:val="4"/>
      </w:rPr>
    </w:r>
  </w:p>
  <w:tbl>
    <w:tblPr>
      <w:tblW w:w="9546" w:type="dxa"/>
      <w:jc w:val="left"/>
      <w:tblInd w:w="-69" w:type="dxa"/>
      <w:tblLayout w:type="fixed"/>
      <w:tblCellMar>
        <w:top w:w="0" w:type="dxa"/>
        <w:left w:w="70" w:type="dxa"/>
        <w:bottom w:w="0" w:type="dxa"/>
        <w:right w:w="70" w:type="dxa"/>
      </w:tblCellMar>
    </w:tblPr>
    <w:tblGrid>
      <w:gridCol w:w="4773"/>
      <w:gridCol w:w="4772"/>
    </w:tblGrid>
    <w:tr>
      <w:trPr/>
      <w:tc>
        <w:tcPr>
          <w:tcW w:w="4773" w:type="dxa"/>
          <w:tcBorders/>
        </w:tcPr>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Footer"/>
            <w:widowControl w:val="false"/>
            <w:bidi w:val="0"/>
            <w:rPr>
              <w:rFonts w:ascii="Tahoma" w:hAnsi="Tahoma" w:eastAsia="Times New Roman" w:cs="Tahoma"/>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Footer"/>
            <w:widowControl w:val="false"/>
            <w:bidi w:val="0"/>
            <w:jc w:val="right"/>
            <w:rPr/>
          </w:pPr>
          <w:r>
            <w:rPr>
              <w:rFonts w:cs="Tahoma" w:ascii="Tahoma" w:hAnsi="Tahoma"/>
              <w:sz w:val="22"/>
              <w:szCs w:val="22"/>
            </w:rPr>
            <w:t>www.sprintel.cz  info@sprintel.cz</w:t>
          </w:r>
        </w:p>
        <w:p>
          <w:pPr>
            <w:pStyle w:val="Footer"/>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Header"/>
            <w:pageBreakBefore/>
            <w:widowControl w:val="false"/>
            <w:bidi w:val="0"/>
            <w:jc w:val="left"/>
            <w:rPr>
              <w:highlight w:val="none"/>
              <w:shd w:fill="auto" w:val="clear"/>
            </w:rPr>
          </w:pPr>
          <w:r>
            <w:drawing>
              <wp:anchor behindDoc="1" distT="0" distB="0" distL="0" distR="0" simplePos="0" locked="0" layoutInCell="1" allowOverlap="1" relativeHeight="22">
                <wp:simplePos x="0" y="0"/>
                <wp:positionH relativeFrom="column">
                  <wp:posOffset>320040</wp:posOffset>
                </wp:positionH>
                <wp:positionV relativeFrom="paragraph">
                  <wp:posOffset>786130</wp:posOffset>
                </wp:positionV>
                <wp:extent cx="5380355" cy="8315325"/>
                <wp:effectExtent l="0" t="0" r="0" b="0"/>
                <wp:wrapNone/>
                <wp:docPr id="4" name="Obrázek3 k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3 kopie 1"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r>
            <w:rPr>
              <w:rFonts w:ascii="Helvetica Neue" w:hAnsi="Helvetica Neue"/>
              <w:shd w:fill="auto" w:val="clear"/>
            </w:rPr>
            <w:t>Referenční velkoobchodní nabídka</w:t>
          </w:r>
        </w:p>
      </w:tc>
      <w:tc>
        <w:tcPr>
          <w:tcW w:w="4819" w:type="dxa"/>
          <w:tcBorders/>
        </w:tcPr>
        <w:p>
          <w:pPr>
            <w:pStyle w:val="Obsahtabulky"/>
            <w:widowControl w:val="false"/>
            <w:bidi w:val="0"/>
            <w:jc w:val="right"/>
            <w:rPr>
              <w:highlight w:val="none"/>
              <w:shd w:fill="auto" w:val="clear"/>
            </w:rPr>
          </w:pPr>
          <w:r>
            <w:rPr>
              <w:rFonts w:ascii="Helvetica Neue" w:hAnsi="Helvetica Neue"/>
              <w:shd w:fill="auto" w:val="clear"/>
            </w:rPr>
            <w:t>Verze 0.1 ze dne 2.1.2024</w:t>
          </w:r>
        </w:p>
      </w:tc>
    </w:tr>
  </w:tbl>
  <w:p>
    <w:pPr>
      <w:pStyle w:val="Header"/>
      <w:bidi w:val="0"/>
      <w:jc w:val="left"/>
      <w:rPr>
        <w:rFonts w:ascii="Helvetica Neue" w:hAnsi="Helvetica Neue"/>
        <w:sz w:val="4"/>
        <w:szCs w:val="4"/>
      </w:rPr>
    </w:pPr>
    <w:r>
      <w:rPr>
        <w:rFonts w:ascii="Helvetica Neue" w:hAnsi="Helvetica Neue"/>
        <w:sz w:val="4"/>
        <w:szCs w:val="4"/>
      </w:rPr>
    </w:r>
  </w:p>
  <w:p>
    <w:pPr>
      <w:pStyle w:val="Header"/>
      <w:bidi w:val="0"/>
      <w:jc w:val="left"/>
      <w:rPr>
        <w:sz w:val="12"/>
        <w:szCs w:val="12"/>
      </w:rPr>
    </w:pPr>
    <w:r>
      <w:rPr>
        <w:sz w:val="12"/>
        <w:szCs w:val="12"/>
      </w:rPr>
      <mc:AlternateContent>
        <mc:Choice Requires="wps">
          <w:drawing>
            <wp:anchor behindDoc="1" distT="635" distB="635" distL="635" distR="635" simplePos="0" locked="0" layoutInCell="1" allowOverlap="1" relativeHeight="9">
              <wp:simplePos x="0" y="0"/>
              <wp:positionH relativeFrom="column">
                <wp:posOffset>79375</wp:posOffset>
              </wp:positionH>
              <wp:positionV relativeFrom="paragraph">
                <wp:posOffset>79375</wp:posOffset>
              </wp:positionV>
              <wp:extent cx="6120130" cy="0"/>
              <wp:effectExtent l="635" t="635" r="635" b="635"/>
              <wp:wrapNone/>
              <wp:docPr id="5"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left"/>
      <w:rPr/>
    </w:pPr>
    <w:r>
      <w:rPr/>
    </w:r>
  </w:p>
  <w:p>
    <w:pPr>
      <w:pStyle w:val="Header"/>
      <w:bidi w:val="0"/>
      <w:jc w:val="left"/>
      <w:rPr/>
    </w:pPr>
    <w:r>
      <w:rPr/>
    </w:r>
  </w:p>
</w:hdr>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Heading1">
    <w:name w:val="Heading 1"/>
    <w:basedOn w:val="Normal"/>
    <w:qFormat/>
    <w:pPr>
      <w:ind w:hanging="357" w:left="491"/>
      <w:outlineLvl w:val="0"/>
    </w:pPr>
    <w:rPr>
      <w:rFonts w:ascii="Arial" w:hAnsi="Arial" w:eastAsia="Arial" w:cs="Arial"/>
      <w:sz w:val="32"/>
      <w:szCs w:val="32"/>
    </w:rPr>
  </w:style>
  <w:style w:type="paragraph" w:styleId="Nadpis">
    <w:name w:val="Nadpis"/>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Header">
    <w:name w:val="Header"/>
    <w:basedOn w:val="Zhlavazpat"/>
    <w:pPr>
      <w:suppressLineNumbers/>
    </w:pPr>
    <w:rPr/>
  </w:style>
  <w:style w:type="paragraph" w:styleId="Footer">
    <w:name w:val="Footer"/>
    <w:basedOn w:val="Zhlavazpat"/>
    <w:pPr>
      <w:suppressLineNumbers/>
      <w:spacing w:lineRule="auto" w:line="240" w:before="0" w:after="0"/>
      <w:contextualSpacing/>
    </w:pPr>
    <w:rPr/>
  </w:style>
  <w:style w:type="paragraph" w:styleId="Vodorovnra">
    <w:name w:val="Vodorovná čára"/>
    <w:basedOn w:val="Normal"/>
    <w:next w:val="BodyText"/>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hanging="0" w:left="636"/>
    </w:pPr>
    <w:rPr/>
  </w:style>
  <w:style w:type="paragraph" w:styleId="Body-dal">
    <w:name w:val="body - další"/>
    <w:basedOn w:val="ListParagraph"/>
    <w:qFormat/>
    <w:pPr>
      <w:widowControl/>
      <w:spacing w:lineRule="auto" w:line="276" w:before="0" w:after="120"/>
      <w:ind w:hanging="0" w:lef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1406</TotalTime>
  <Application>LibreOffice/24.2.3.2$MacOSX_AARCH64 LibreOffice_project/433d9c2ded56988e8a90e6b2e771ee4e6a5ab2ba</Application>
  <AppVersion>15.0000</AppVersion>
  <Pages>7</Pages>
  <Words>1218</Words>
  <Characters>7012</Characters>
  <CharactersWithSpaces>8139</CharactersWithSpaces>
  <Paragraphs>108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2025-01-23T09:19:58Z</dcterms:modified>
  <cp:revision>270</cp:revision>
  <dc:subject/>
  <dc:title/>
</cp:coreProperties>
</file>

<file path=docProps/custom.xml><?xml version="1.0" encoding="utf-8"?>
<Properties xmlns="http://schemas.openxmlformats.org/officeDocument/2006/custom-properties" xmlns:vt="http://schemas.openxmlformats.org/officeDocument/2006/docPropsVTypes"/>
</file>