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r>
    </w:p>
    <w:p>
      <w:pPr>
        <w:pStyle w:val="Normal"/>
        <w:bidi w:val="0"/>
        <w:jc w:val="left"/>
        <w:rPr/>
      </w:pPr>
      <w:r>
        <w:rPr/>
      </w:r>
    </w:p>
    <w:p>
      <w:pPr>
        <w:pStyle w:val="Normal"/>
        <w:bidi w:val="0"/>
        <w:jc w:val="center"/>
        <w:rPr/>
      </w:pPr>
      <w:r>
        <w:rPr/>
      </w:r>
    </w:p>
    <w:p>
      <w:pPr>
        <w:pStyle w:val="Normal"/>
        <w:bidi w:val="0"/>
        <w:jc w:val="center"/>
        <w:rPr/>
      </w:pPr>
      <w:r>
        <w:rPr/>
      </w:r>
    </w:p>
    <w:p>
      <w:pPr>
        <w:pStyle w:val="Normal"/>
        <w:bidi w:val="0"/>
        <w:jc w:val="center"/>
        <w:rPr/>
      </w:pPr>
      <w:r>
        <w:rPr/>
        <w:drawing>
          <wp:inline distT="0" distB="0" distL="0" distR="0">
            <wp:extent cx="4502150" cy="201549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4502150" cy="2015490"/>
                    </a:xfrm>
                    <a:prstGeom prst="rect">
                      <a:avLst/>
                    </a:prstGeom>
                  </pic:spPr>
                </pic:pic>
              </a:graphicData>
            </a:graphic>
          </wp:inline>
        </w:drawing>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1440" w:hanging="0"/>
        <w:jc w:val="left"/>
        <w:rPr>
          <w:rFonts w:ascii="Helvetica Neue" w:hAnsi="Helvetica Neue"/>
          <w:sz w:val="40"/>
          <w:szCs w:val="40"/>
        </w:rPr>
      </w:pPr>
      <w:r>
        <w:rPr>
          <w:rFonts w:ascii="Helvetica Neue" w:hAnsi="Helvetica Neue"/>
          <w:sz w:val="40"/>
          <w:szCs w:val="40"/>
        </w:rPr>
        <w:t xml:space="preserve">Referenční velkoobchodní nabídka </w:t>
      </w:r>
    </w:p>
    <w:p>
      <w:pPr>
        <w:pStyle w:val="Obsahtabulky"/>
        <w:widowControl w:val="false"/>
        <w:bidi w:val="0"/>
        <w:ind w:left="1440" w:hanging="0"/>
        <w:jc w:val="left"/>
        <w:rPr>
          <w:rFonts w:ascii="Helvetica Neue" w:hAnsi="Helvetica Neue"/>
          <w:sz w:val="20"/>
          <w:szCs w:val="20"/>
        </w:rPr>
      </w:pPr>
      <w:r>
        <w:rPr>
          <w:rFonts w:ascii="Helvetica Neue" w:hAnsi="Helvetica Neue"/>
          <w:sz w:val="20"/>
          <w:szCs w:val="20"/>
        </w:rPr>
      </w:r>
    </w:p>
    <w:p>
      <w:pPr>
        <w:pStyle w:val="Obsahtabulky"/>
        <w:widowControl w:val="false"/>
        <w:bidi w:val="0"/>
        <w:ind w:left="1440" w:hanging="0"/>
        <w:jc w:val="left"/>
        <w:rPr>
          <w:rFonts w:ascii="Helvetica Neue" w:hAnsi="Helvetica Neue"/>
          <w:sz w:val="40"/>
          <w:szCs w:val="40"/>
        </w:rPr>
      </w:pPr>
      <w:r>
        <w:rPr>
          <w:rFonts w:ascii="Helvetica Neue" w:hAnsi="Helvetica Neue"/>
          <w:sz w:val="36"/>
          <w:szCs w:val="36"/>
        </w:rPr>
        <w:t>přístupu na sítích VHCN budovaných s využitím dotačních programů</w:t>
      </w:r>
    </w:p>
    <w:p>
      <w:pPr>
        <w:pStyle w:val="Obsahtabulky"/>
        <w:widowControl w:val="false"/>
        <w:bidi w:val="0"/>
        <w:ind w:left="1440" w:hanging="0"/>
        <w:jc w:val="left"/>
        <w:rPr>
          <w:rFonts w:ascii="Helvetica Neue" w:hAnsi="Helvetica Neue"/>
          <w:sz w:val="20"/>
          <w:szCs w:val="20"/>
        </w:rPr>
      </w:pPr>
      <w:r>
        <w:rPr>
          <w:rFonts w:ascii="Helvetica Neue" w:hAnsi="Helvetica Neue"/>
          <w:sz w:val="20"/>
          <w:szCs w:val="20"/>
        </w:rPr>
      </w:r>
    </w:p>
    <w:p>
      <w:pPr>
        <w:pStyle w:val="Obsahtabulky"/>
        <w:widowControl w:val="false"/>
        <w:bidi w:val="0"/>
        <w:ind w:left="1440" w:hanging="0"/>
        <w:jc w:val="left"/>
        <w:rPr>
          <w:rFonts w:ascii="Helvetica Neue" w:hAnsi="Helvetica Neue"/>
          <w:sz w:val="40"/>
          <w:szCs w:val="40"/>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bidi w:val="0"/>
        <w:ind w:left="144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1440" w:hanging="0"/>
        <w:jc w:val="left"/>
        <w:rPr>
          <w:sz w:val="32"/>
          <w:szCs w:val="32"/>
        </w:rPr>
      </w:pPr>
      <w:r>
        <w:rPr>
          <w:rFonts w:eastAsia="Songti SC" w:cs="Arial Unicode MS" w:ascii="Helvetica Neue" w:hAnsi="Helvetica Neue"/>
          <w:color w:val="auto"/>
          <w:kern w:val="2"/>
          <w:sz w:val="32"/>
          <w:szCs w:val="32"/>
          <w:lang w:val="cs-CZ" w:eastAsia="zh-CN" w:bidi="hi-IN"/>
        </w:rPr>
        <w:t>příloha č. 9</w:t>
      </w:r>
    </w:p>
    <w:p>
      <w:pPr>
        <w:pStyle w:val="Obsahtabulky"/>
        <w:widowControl w:val="false"/>
        <w:bidi w:val="0"/>
        <w:ind w:left="1440" w:hanging="0"/>
        <w:jc w:val="left"/>
        <w:rPr>
          <w:rFonts w:ascii="Helvetica Neue" w:hAnsi="Helvetica Neue" w:eastAsia="Songti SC" w:cs="Arial Unicode MS"/>
          <w:color w:val="auto"/>
          <w:kern w:val="2"/>
          <w:lang w:val="cs-CZ" w:eastAsia="zh-CN" w:bidi="hi-IN"/>
        </w:rPr>
      </w:pPr>
      <w:r>
        <w:rPr>
          <w:rFonts w:eastAsia="Songti SC" w:cs="Arial Unicode MS" w:ascii="Helvetica Neue" w:hAnsi="Helvetica Neue"/>
          <w:color w:val="auto"/>
          <w:kern w:val="2"/>
          <w:lang w:val="cs-CZ" w:eastAsia="zh-CN" w:bidi="hi-IN"/>
        </w:rPr>
      </w:r>
    </w:p>
    <w:p>
      <w:pPr>
        <w:pStyle w:val="Obsahtabulky"/>
        <w:widowControl w:val="false"/>
        <w:bidi w:val="0"/>
        <w:ind w:left="1440" w:hanging="0"/>
        <w:jc w:val="left"/>
        <w:rPr>
          <w:rFonts w:ascii="Helvetica Neue" w:hAnsi="Helvetica Neue"/>
          <w:sz w:val="40"/>
          <w:szCs w:val="40"/>
        </w:rPr>
      </w:pPr>
      <w:r>
        <w:rPr>
          <w:rFonts w:eastAsia="Songti SC" w:cs="Arial Unicode MS" w:ascii="Helvetica Neue" w:hAnsi="Helvetica Neue"/>
          <w:color w:val="auto"/>
          <w:kern w:val="2"/>
          <w:sz w:val="32"/>
          <w:szCs w:val="32"/>
          <w:lang w:val="cs-CZ" w:eastAsia="zh-CN" w:bidi="hi-IN"/>
        </w:rPr>
        <w:t>Platební podmínky a smluvní pokuty</w:t>
      </w:r>
    </w:p>
    <w:p>
      <w:pPr>
        <w:pStyle w:val="Obsahtabulky"/>
        <w:widowControl w:val="false"/>
        <w:bidi w:val="0"/>
        <w:ind w:left="2160" w:hanging="0"/>
        <w:jc w:val="left"/>
        <w:rPr>
          <w:rFonts w:ascii="Helvetica Neue" w:hAnsi="Helvetica Neue"/>
          <w:sz w:val="32"/>
          <w:szCs w:val="32"/>
        </w:rPr>
      </w:pPr>
      <w:r>
        <w:rPr>
          <w:rFonts w:ascii="Helvetica Neue" w:hAnsi="Helvetica Neue"/>
          <w:sz w:val="32"/>
          <w:szCs w:val="32"/>
        </w:rPr>
      </w:r>
      <w:r>
        <w:br w:type="page"/>
      </w:r>
    </w:p>
    <w:p>
      <w:pPr>
        <w:pStyle w:val="Normal"/>
        <w:bidi w:val="0"/>
        <w:jc w:val="left"/>
        <w:rPr>
          <w:sz w:val="12"/>
          <w:szCs w:val="12"/>
        </w:rPr>
      </w:pPr>
      <w:r>
        <w:rPr>
          <w:sz w:val="12"/>
          <w:szCs w:val="12"/>
        </w:rPr>
      </w:r>
    </w:p>
    <w:p>
      <w:pPr>
        <w:pStyle w:val="Nadpis1"/>
        <w:tabs>
          <w:tab w:val="clear" w:pos="720"/>
          <w:tab w:val="left" w:pos="403" w:leader="none"/>
        </w:tabs>
        <w:spacing w:before="89" w:after="0"/>
        <w:ind w:left="134" w:hanging="0"/>
        <w:jc w:val="center"/>
        <w:rPr/>
      </w:pPr>
      <w:r>
        <w:rPr>
          <w:rFonts w:ascii="Helvetica Neue" w:hAnsi="Helvetica Neue"/>
        </w:rPr>
        <w:t>Platební podmínky a smluvní pokuty</w:t>
      </w:r>
    </w:p>
    <w:p>
      <w:pPr>
        <w:pStyle w:val="Nadpis1"/>
        <w:tabs>
          <w:tab w:val="clear" w:pos="720"/>
          <w:tab w:val="left" w:pos="403" w:leader="none"/>
        </w:tabs>
        <w:spacing w:before="89" w:after="0"/>
        <w:ind w:left="134" w:hanging="0"/>
        <w:jc w:val="center"/>
        <w:rPr>
          <w:rFonts w:ascii="Helvetica Neue" w:hAnsi="Helvetica Neue"/>
        </w:rPr>
      </w:pPr>
      <w:r>
        <w:rPr>
          <w:rFonts w:ascii="Helvetica Neue" w:hAnsi="Helvetica Neue"/>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w:t>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Náležitosti účetních dokladů</w:t>
      </w:r>
    </w:p>
    <w:p>
      <w:pPr>
        <w:pStyle w:val="Tlotextu"/>
        <w:spacing w:lineRule="auto" w:line="290" w:before="1" w:after="0"/>
        <w:ind w:left="136" w:right="135" w:hanging="0"/>
        <w:jc w:val="both"/>
        <w:rPr>
          <w:rFonts w:ascii="Helvetica Neue" w:hAnsi="Helvetica Neue"/>
          <w:sz w:val="24"/>
          <w:szCs w:val="24"/>
          <w:highlight w:val="none"/>
          <w:shd w:fill="auto" w:val="clear"/>
        </w:rPr>
      </w:pPr>
      <w:r>
        <w:rPr>
          <w:rFonts w:ascii="Helvetica Neue" w:hAnsi="Helvetica Neue"/>
          <w:sz w:val="24"/>
          <w:szCs w:val="24"/>
          <w:shd w:fill="auto" w:val="clear"/>
        </w:rPr>
      </w:r>
    </w:p>
    <w:p>
      <w:pPr>
        <w:pStyle w:val="Tlotextu"/>
        <w:spacing w:lineRule="auto" w:line="290" w:before="1" w:after="0"/>
        <w:ind w:left="136" w:right="135" w:hanging="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Účetní doklady předávané smluvní straně musí obsahovat:</w:t>
      </w:r>
    </w:p>
    <w:p>
      <w:pPr>
        <w:pStyle w:val="Tlotextu"/>
        <w:spacing w:lineRule="auto" w:line="290" w:before="1" w:after="0"/>
        <w:ind w:left="136" w:right="135" w:hanging="0"/>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Název, sídlo, IČ a DIČ vystavitele dokladu</w:t>
      </w:r>
    </w:p>
    <w:p>
      <w:pPr>
        <w:pStyle w:val="Tlotextu"/>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Název, sídlo, IČ a DIČ sídlo protistrany</w:t>
      </w:r>
    </w:p>
    <w:p>
      <w:pPr>
        <w:pStyle w:val="Tlotextu"/>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dokladu, datum vystavení a v případě daňových dokladů datum uskutečnění zdanitelného plnění</w:t>
      </w:r>
    </w:p>
    <w:p>
      <w:pPr>
        <w:pStyle w:val="Tlotextu"/>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bankovního účtu vč. kódu banky oznámeného protistraně přílohou 7</w:t>
      </w:r>
    </w:p>
    <w:p>
      <w:pPr>
        <w:pStyle w:val="Tlotextu"/>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Jednotkovou cenu, účtované jednotky v souladu se specifikací služby a celkovou cenu bez DPH, v případě daňových dokladů dále celkovou cenu s DPH, výši DPH a sazbu DPH</w:t>
      </w:r>
    </w:p>
    <w:p>
      <w:pPr>
        <w:pStyle w:val="Tlotextu"/>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služby nebo v případě hromadného účtování čísla služeb, popis předmětu plnění a specifikaci jeho rozsahu</w:t>
      </w:r>
    </w:p>
    <w:p>
      <w:pPr>
        <w:pStyle w:val="Tlotextu"/>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objednávky, pokud má vyúčtování vazbu na objednávku</w:t>
      </w:r>
    </w:p>
    <w:p>
      <w:pPr>
        <w:pStyle w:val="Tlotextu"/>
        <w:numPr>
          <w:ilvl w:val="0"/>
          <w:numId w:val="1"/>
        </w:numPr>
        <w:spacing w:lineRule="auto" w:line="290" w:before="1" w:after="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Číslo smlouvy a specifikaci období, za nějž je účtováno</w:t>
      </w:r>
    </w:p>
    <w:p>
      <w:pPr>
        <w:pStyle w:val="Tlotextu"/>
        <w:numPr>
          <w:ilvl w:val="0"/>
          <w:numId w:val="1"/>
        </w:numPr>
        <w:spacing w:lineRule="auto" w:line="290" w:before="1" w:after="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Jakékoliv jiné náležitosti, které stanoví zákon nebo závazný právní předpis v okamžik vystavení dokladu</w:t>
      </w:r>
    </w:p>
    <w:p>
      <w:pPr>
        <w:pStyle w:val="Tlotextu"/>
        <w:spacing w:lineRule="auto" w:line="290" w:before="1" w:after="0"/>
        <w:ind w:left="136" w:right="135" w:hanging="0"/>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spacing w:lineRule="auto" w:line="290" w:before="1" w:after="0"/>
        <w:ind w:left="136" w:right="135" w:hanging="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Strany jsou oprávněny účtovat pouze plnění dle této smlouvy, plnění poskytnuté v souvislosti s plněním této smlouvy, smluvní pokuty stanovené touto smlouvou a to vše za podmínek stanovených touto smlouvou, dále pak objednávky Partnera u Sprintel nad rámec smlouvy a to dle běžných obchodních podmínek Sprintel. Sprintel výslovně uvádí, že touto smlouvou nesjednává žádné plnění od Partnera a nebude žádné takové dokladu přijímat a proplácet, pokud nepůjde o plnění objednané u Partnera samostatnou písemnou objednávkou nebo  na základě jiné smlouvy.</w:t>
      </w:r>
    </w:p>
    <w:p>
      <w:pPr>
        <w:pStyle w:val="Tlotextu"/>
        <w:spacing w:lineRule="auto" w:line="290" w:before="1" w:after="0"/>
        <w:ind w:left="136" w:right="135" w:hanging="0"/>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spacing w:lineRule="auto" w:line="290" w:before="1" w:after="0"/>
        <w:ind w:left="136" w:right="135" w:hanging="0"/>
        <w:jc w:val="both"/>
        <w:rPr>
          <w:rFonts w:ascii="Helvetica Neue" w:hAnsi="Helvetica Neue"/>
          <w:sz w:val="24"/>
          <w:szCs w:val="24"/>
          <w:highlight w:val="none"/>
          <w:shd w:fill="auto" w:val="clear"/>
        </w:rPr>
      </w:pPr>
      <w:r>
        <w:rPr>
          <w:rFonts w:eastAsia="Songti SC" w:cs="Arial Unicode MS" w:ascii="Helvetica Neue" w:hAnsi="Helvetica Neue"/>
          <w:color w:val="000000"/>
          <w:kern w:val="2"/>
          <w:sz w:val="24"/>
          <w:szCs w:val="24"/>
          <w:shd w:fill="auto" w:val="clear"/>
          <w:lang w:val="cs-CZ" w:eastAsia="zh-CN" w:bidi="hi-IN"/>
        </w:rPr>
        <w:t>Kontakty smluvních stran a jejich vzájemně oznámená čísla účtů a fakturační jsou uvedeny v příloze č. 7. Změny údajů je každé smluvní strana povinna bez zbytečného odkladu oznámit protistraně.</w:t>
      </w:r>
    </w:p>
    <w:p>
      <w:pPr>
        <w:pStyle w:val="Tlotextu"/>
        <w:spacing w:lineRule="auto" w:line="290" w:before="1" w:after="0"/>
        <w:ind w:left="136" w:right="135" w:hanging="0"/>
        <w:jc w:val="both"/>
        <w:rPr>
          <w:rFonts w:ascii="Helvetica Neue" w:hAnsi="Helvetica Neue"/>
          <w:sz w:val="24"/>
          <w:szCs w:val="24"/>
          <w:highlight w:val="none"/>
          <w:shd w:fill="auto" w:val="clear"/>
        </w:rPr>
      </w:pPr>
      <w:r>
        <w:rPr>
          <w:rFonts w:ascii="Helvetica Neue" w:hAnsi="Helvetica Neue"/>
          <w:sz w:val="24"/>
          <w:szCs w:val="24"/>
          <w:shd w:fill="auto" w:val="clear"/>
        </w:rPr>
      </w:r>
    </w:p>
    <w:p>
      <w:pPr>
        <w:pStyle w:val="Tlotextu"/>
        <w:spacing w:lineRule="auto" w:line="290" w:before="1" w:after="0"/>
        <w:ind w:left="136" w:right="135" w:hanging="0"/>
        <w:jc w:val="center"/>
        <w:rPr>
          <w:highlight w:val="none"/>
          <w:shd w:fill="auto" w:val="clear"/>
        </w:rPr>
      </w:pPr>
      <w:r>
        <w:rPr>
          <w:shd w:fill="auto" w:val="clear"/>
        </w:rPr>
      </w:r>
      <w:r>
        <w:br w:type="page"/>
      </w:r>
    </w:p>
    <w:p>
      <w:pPr>
        <w:pStyle w:val="Tlotextu"/>
        <w:spacing w:lineRule="auto" w:line="290" w:before="1" w:after="0"/>
        <w:ind w:left="136" w:right="135" w:hanging="0"/>
        <w:jc w:val="center"/>
        <w:rPr>
          <w:highlight w:val="none"/>
          <w:shd w:fill="auto" w:val="clear"/>
        </w:rPr>
      </w:pPr>
      <w:r>
        <w:rPr>
          <w:shd w:fill="auto" w:val="clear"/>
        </w:rPr>
      </w:r>
    </w:p>
    <w:p>
      <w:pPr>
        <w:pStyle w:val="Tlotextu"/>
        <w:spacing w:lineRule="auto" w:line="290" w:before="1" w:after="0"/>
        <w:ind w:left="136" w:right="135" w:hanging="0"/>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II.</w:t>
      </w:r>
    </w:p>
    <w:p>
      <w:pPr>
        <w:pStyle w:val="Tlotextu"/>
        <w:spacing w:lineRule="auto" w:line="290" w:before="1" w:after="0"/>
        <w:ind w:left="136" w:right="135" w:hanging="0"/>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Postupy účtování za služby</w:t>
      </w:r>
    </w:p>
    <w:p>
      <w:pPr>
        <w:pStyle w:val="Tlotextu"/>
        <w:spacing w:lineRule="auto" w:line="290" w:before="1" w:after="0"/>
        <w:ind w:left="136" w:right="135" w:hanging="0"/>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Průběžně poskytované služby dle příloh 3a-3f jsou účtovány za kalendářní měsíc. V případě, že služba byla zřízena nebo zrušena v průběhu kalendářního měsíce, je účtována poměrná část měsíce, do níž je zahrnut první i poslední den poskytování služby. Pro účel výpočtu poměrné části je kalkulováno se skutečným počtem dnů v příslušném měsíci. Faktura za předcházející měsíc je vystavena do 10ti dnů od počátku měsíce po něm následujícího. Veškeré ostatní poplatky, např. poplatky spojené se zřizováním, rušením, prověřování služeb, servisními zásahy či dodávkami nad rámec smlouvy či záruk apod. mohou být zahrnuty jako samostatné položky na vyúčtování průběžně poskytovaných služeb, nebo jako položky samostatné souhrnné faktury. Samostatný účetní doklad bude vždy vystaven na smluvní pokuty, nejdříve však, když jejich výše dosáhne 100 Kč bez DPH, a to kdykoliv v průběhu platnosti smlouvy, tj. nikoliv pouze na začátku kalendářního měsíce.</w:t>
      </w:r>
    </w:p>
    <w:p>
      <w:pPr>
        <w:pStyle w:val="Tlotextu"/>
        <w:spacing w:lineRule="auto" w:line="290" w:before="1" w:after="0"/>
        <w:ind w:left="136" w:right="135" w:hanging="0"/>
        <w:jc w:val="both"/>
        <w:rPr>
          <w:sz w:val="20"/>
          <w:szCs w:val="20"/>
        </w:rPr>
      </w:pPr>
      <w:r>
        <w:rPr>
          <w:sz w:val="20"/>
          <w:szCs w:val="20"/>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III.</w:t>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Postup při reklamaci vyúčtování</w:t>
      </w:r>
    </w:p>
    <w:p>
      <w:pPr>
        <w:pStyle w:val="Tlotextu"/>
        <w:spacing w:lineRule="auto" w:line="290" w:before="1" w:after="0"/>
        <w:ind w:left="136" w:right="135" w:hanging="0"/>
        <w:jc w:val="both"/>
        <w:rPr>
          <w:rFonts w:ascii="Helvetica Neue" w:hAnsi="Helvetica Neue"/>
          <w:b w:val="false"/>
          <w:b w:val="false"/>
          <w:bCs w:val="false"/>
          <w:sz w:val="20"/>
          <w:szCs w:val="20"/>
          <w:highlight w:val="none"/>
          <w:shd w:fill="auto" w:val="clear"/>
        </w:rPr>
      </w:pPr>
      <w:r>
        <w:rPr>
          <w:rFonts w:ascii="Helvetica Neue" w:hAnsi="Helvetica Neue"/>
          <w:b w:val="false"/>
          <w:bCs w:val="false"/>
          <w:sz w:val="20"/>
          <w:szCs w:val="20"/>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K vyúčtování cenu za službu může Partner podat reklamaci. Reklamace musí být odůvodněná, tvrzení v odůvodnění průkazné, a musí být podána bez zbytečného dokladu do 60ti dnů od doručení vyúčtování ceny Partnerovi. Podáním reklamace nedochází k odkladu splatnosti vyúčtování. V případě, že reklamace bude shledána oprávněnou, bude Partnerovi vystaven opravný daňový doklad, který partner potvrdí a do 30ti dnů po té dojde k poukázání chybně vyúčtované částky zpět na účet Partnera.</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se zavazuje reklamaci vyřídit do 90ti dnů ode dne jejího obdržení. Ve výjimečných odůvodněných případech lze lhůtu prodloužit od dalších 90 dnů, o čemž Sprintel Partnera vyrozumí neprodleně po té, co okolnosti vedoucí k prodloužení lhůty zjistí. Je-li reklamace kladně vyřízena, Sprintel bezodkladně vyrozumí Partnera. Sprintel reklamaci zamítne, pokud ji shledá neoprávněnou. V takovém případě Partnera informuje o důvodech odmítnutí.</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V případě, že reklamace nebyla vyřízena ve výše uvedeném termínu, nebo Partner nesouhlasí s důvody odmítnutí nebo se způsobem jejího vyřízení, je oprávněn se do 30ti dnů písemně obrátit na některého z jednatelů (statutárních orgánů) Sprintel a požadovat nápravu. Pokud náprava není sjednána do 30ti dnů, postoupí Partner věc Úřadu.</w:t>
      </w:r>
    </w:p>
    <w:p>
      <w:pPr>
        <w:pStyle w:val="Tlotextu"/>
        <w:spacing w:lineRule="auto" w:line="290" w:before="1" w:after="0"/>
        <w:ind w:left="136" w:right="135" w:hanging="0"/>
        <w:jc w:val="left"/>
        <w:rPr>
          <w:rFonts w:ascii="Helvetica Neue" w:hAnsi="Helvetica Neue" w:eastAsia="Songti SC" w:cs="Arial Unicode MS"/>
          <w:b w:val="false"/>
          <w:b w:val="false"/>
          <w:bCs w:val="false"/>
          <w:color w:val="auto"/>
          <w:kern w:val="2"/>
          <w:sz w:val="24"/>
          <w:szCs w:val="24"/>
          <w:lang w:val="cs-CZ" w:eastAsia="zh-CN" w:bidi="hi-IN"/>
        </w:rPr>
      </w:pPr>
      <w:r>
        <w:rPr>
          <w:rFonts w:eastAsia="Songti SC" w:cs="Arial Unicode MS" w:ascii="Helvetica Neue" w:hAnsi="Helvetica Neue"/>
          <w:b w:val="false"/>
          <w:bCs w:val="false"/>
          <w:color w:val="auto"/>
          <w:kern w:val="2"/>
          <w:sz w:val="24"/>
          <w:szCs w:val="24"/>
          <w:lang w:val="cs-CZ" w:eastAsia="zh-CN" w:bidi="hi-IN"/>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IV.</w:t>
      </w:r>
    </w:p>
    <w:p>
      <w:pPr>
        <w:pStyle w:val="Tlotextu"/>
        <w:spacing w:lineRule="auto" w:line="290" w:before="1" w:after="0"/>
        <w:ind w:left="136" w:right="135" w:hanging="0"/>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Smluvní pokuty vůči Sprintel</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Smlouva sjednává tyto pokuty, které může Partner uplatnit v souvislosti s poskytováním Služeb dle příloh č. 3a-3f:</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tbl>
      <w:tblPr>
        <w:tblW w:w="9643" w:type="dxa"/>
        <w:jc w:val="left"/>
        <w:tblInd w:w="-5" w:type="dxa"/>
        <w:tblLayout w:type="fixed"/>
        <w:tblCellMar>
          <w:top w:w="55" w:type="dxa"/>
          <w:left w:w="55" w:type="dxa"/>
          <w:bottom w:w="55" w:type="dxa"/>
          <w:right w:w="55" w:type="dxa"/>
        </w:tblCellMar>
      </w:tblPr>
      <w:tblGrid>
        <w:gridCol w:w="344"/>
        <w:gridCol w:w="5101"/>
        <w:gridCol w:w="4198"/>
      </w:tblGrid>
      <w:tr>
        <w:trPr/>
        <w:tc>
          <w:tcPr>
            <w:tcW w:w="344"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r>
          </w:p>
        </w:tc>
        <w:tc>
          <w:tcPr>
            <w:tcW w:w="5101"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b/>
                <w:b/>
                <w:bCs/>
              </w:rPr>
            </w:pPr>
            <w:r>
              <w:rPr>
                <w:rFonts w:ascii="Helvetica Neue" w:hAnsi="Helvetica Neue"/>
                <w:b/>
                <w:bCs/>
              </w:rPr>
              <w:t xml:space="preserve">  </w:t>
            </w:r>
            <w:r>
              <w:rPr>
                <w:rFonts w:ascii="Helvetica Neue" w:hAnsi="Helvetica Neue"/>
                <w:b/>
                <w:bCs/>
              </w:rPr>
              <w:t>D</w:t>
            </w:r>
            <w:r>
              <w:rPr>
                <w:rFonts w:eastAsia="Songti SC" w:cs="Arial Unicode MS" w:ascii="Helvetica Neue" w:hAnsi="Helvetica Neue"/>
                <w:b/>
                <w:bCs/>
                <w:color w:val="auto"/>
                <w:kern w:val="2"/>
                <w:sz w:val="24"/>
                <w:szCs w:val="24"/>
                <w:lang w:val="cs-CZ" w:eastAsia="zh-CN" w:bidi="hi-IN"/>
              </w:rPr>
              <w:t>ůvod pokuty</w:t>
            </w:r>
          </w:p>
        </w:tc>
        <w:tc>
          <w:tcPr>
            <w:tcW w:w="4198" w:type="dxa"/>
            <w:tcBorders>
              <w:top w:val="single" w:sz="4" w:space="0" w:color="000000"/>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b/>
                <w:b/>
                <w:bCs/>
              </w:rPr>
            </w:pPr>
            <w:r>
              <w:rPr>
                <w:rFonts w:ascii="Helvetica Neue" w:hAnsi="Helvetica Neue"/>
                <w:b/>
                <w:bCs/>
              </w:rPr>
              <w:t>V</w:t>
            </w:r>
            <w:r>
              <w:rPr>
                <w:rFonts w:eastAsia="Songti SC" w:cs="Arial Unicode MS" w:ascii="Helvetica Neue" w:hAnsi="Helvetica Neue"/>
                <w:b/>
                <w:bCs/>
                <w:color w:val="auto"/>
                <w:kern w:val="2"/>
                <w:sz w:val="24"/>
                <w:szCs w:val="24"/>
                <w:lang w:val="cs-CZ" w:eastAsia="zh-CN" w:bidi="hi-IN"/>
              </w:rPr>
              <w:t>ýše pokuty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1)</w:t>
            </w:r>
          </w:p>
        </w:tc>
        <w:tc>
          <w:tcPr>
            <w:tcW w:w="5101" w:type="dxa"/>
            <w:tcBorders>
              <w:left w:val="single" w:sz="4" w:space="0" w:color="000000"/>
              <w:bottom w:val="single" w:sz="4" w:space="0" w:color="000000"/>
            </w:tcBorders>
          </w:tcPr>
          <w:p>
            <w:pPr>
              <w:pStyle w:val="Tlotextu"/>
              <w:widowControl w:val="false"/>
              <w:spacing w:lineRule="auto" w:line="290" w:before="1" w:after="0"/>
              <w:ind w:left="136" w:right="135" w:hanging="0"/>
              <w:jc w:val="left"/>
              <w:rPr>
                <w:rFonts w:ascii="Helvetica Neue" w:hAnsi="Helvetica Neue" w:eastAsia="Songti SC" w:cs="Arial Unicode MS"/>
                <w:b w:val="false"/>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opravu předávacího rozhraní služeb a dostupnosti rozhraní Služeb</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1/30 měsíčn</w:t>
            </w:r>
            <w:r>
              <w:rPr>
                <w:rFonts w:ascii="Helvetica Neue" w:hAnsi="Helvetica Neue"/>
                <w:shd w:fill="auto" w:val="clear"/>
              </w:rPr>
              <w:t>í ceny Služby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2)</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eastAsia="Songti SC" w:cs="Arial Unicode MS"/>
                <w:b w:val="false"/>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zřízení Služby</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3)</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eastAsia="Songti SC" w:cs="Arial Unicode MS"/>
                <w:b w:val="false"/>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poskytnutí informace o volných kapacitách Služby</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4)</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eastAsia="Songti SC" w:cs="Arial Unicode MS"/>
                <w:b w:val="false"/>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změnu poskytovatele  Služby (přenos)</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5)</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eastAsia="Songti SC" w:cs="Arial Unicode MS"/>
                <w:b w:val="false"/>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pro změnu typu velkoobchodní služby poskytovatele Služby (migrace)</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6)</w:t>
            </w:r>
          </w:p>
        </w:tc>
        <w:tc>
          <w:tcPr>
            <w:tcW w:w="5101" w:type="dxa"/>
            <w:tcBorders>
              <w:left w:val="single" w:sz="4" w:space="0" w:color="000000"/>
              <w:bottom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eastAsia="Songti SC" w:cs="Arial Unicode MS"/>
                <w:b w:val="false"/>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poskytnutí informace o volné kapacitě</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1/30 měsíční ce</w:t>
            </w:r>
            <w:r>
              <w:rPr>
                <w:rFonts w:ascii="Helvetica Neue" w:hAnsi="Helvetica Neue"/>
                <w:shd w:fill="auto" w:val="clear"/>
              </w:rPr>
              <w:t>ny Služby za ka</w:t>
            </w:r>
            <w:r>
              <w:rPr>
                <w:rFonts w:eastAsia="Songti SC" w:cs="Arial Unicode MS" w:ascii="Helvetica Neue" w:hAnsi="Helvetica Neue"/>
                <w:color w:val="000000"/>
                <w:kern w:val="2"/>
                <w:sz w:val="24"/>
                <w:szCs w:val="24"/>
                <w:shd w:fill="auto" w:val="clear"/>
                <w:lang w:val="cs-CZ" w:eastAsia="zh-CN" w:bidi="hi-IN"/>
              </w:rPr>
              <w:t>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7)</w:t>
            </w:r>
          </w:p>
        </w:tc>
        <w:tc>
          <w:tcPr>
            <w:tcW w:w="5101" w:type="dxa"/>
            <w:tcBorders>
              <w:left w:val="single" w:sz="4" w:space="0" w:color="000000"/>
              <w:bottom w:val="single" w:sz="4" w:space="0" w:color="000000"/>
            </w:tcBorders>
          </w:tcPr>
          <w:p>
            <w:pPr>
              <w:pStyle w:val="Tlotextu"/>
              <w:widowControl w:val="false"/>
              <w:spacing w:lineRule="auto" w:line="290" w:before="1" w:after="0"/>
              <w:ind w:left="136" w:right="135" w:hanging="0"/>
              <w:jc w:val="left"/>
              <w:rPr>
                <w:rFonts w:ascii="Helvetica Neue" w:hAnsi="Helvetica Neue" w:eastAsia="Songti SC" w:cs="Arial Unicode MS"/>
                <w:b w:val="false"/>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maximální doby opravy Služby  nebo minimální doby dostupnosti služby</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eastAsia="Songti SC" w:cs="Arial Unicode MS" w:ascii="Helvetica Neue" w:hAnsi="Helvetica Neue"/>
                <w:color w:val="000000"/>
                <w:kern w:val="2"/>
                <w:sz w:val="24"/>
                <w:szCs w:val="24"/>
                <w:shd w:fill="auto" w:val="clear"/>
                <w:lang w:val="cs-CZ" w:eastAsia="zh-CN" w:bidi="hi-IN"/>
              </w:rPr>
              <w:t>1/30 měsíční ceny Služby za každý den překročení maximální doby</w:t>
            </w:r>
          </w:p>
        </w:tc>
      </w:tr>
      <w:tr>
        <w:trPr/>
        <w:tc>
          <w:tcPr>
            <w:tcW w:w="344"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8)</w:t>
            </w:r>
          </w:p>
        </w:tc>
        <w:tc>
          <w:tcPr>
            <w:tcW w:w="5101" w:type="dxa"/>
            <w:tcBorders>
              <w:left w:val="single" w:sz="4" w:space="0" w:color="000000"/>
              <w:bottom w:val="single" w:sz="4" w:space="0" w:color="000000"/>
            </w:tcBorders>
          </w:tcPr>
          <w:p>
            <w:pPr>
              <w:pStyle w:val="Tlotextu"/>
              <w:widowControl w:val="false"/>
              <w:spacing w:lineRule="auto" w:line="290" w:before="1" w:after="0"/>
              <w:ind w:left="136" w:right="135" w:hanging="0"/>
              <w:jc w:val="left"/>
              <w:rPr>
                <w:rFonts w:ascii="Helvetica Neue" w:hAnsi="Helvetica Neue" w:eastAsia="Songti SC" w:cs="Arial Unicode MS"/>
                <w:b w:val="false"/>
                <w:b w:val="false"/>
                <w:bCs w:val="false"/>
                <w:color w:val="auto"/>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t>Nedodržení minimální měsíční dostupnosti objednávkového systému (pokud je využíván)</w:t>
            </w:r>
          </w:p>
        </w:tc>
        <w:tc>
          <w:tcPr>
            <w:tcW w:w="4198"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 xml:space="preserve">100,- Kč </w:t>
            </w:r>
            <w:r>
              <w:rPr>
                <w:rFonts w:eastAsia="Songti SC" w:cs="Arial Unicode MS" w:ascii="Helvetica Neue" w:hAnsi="Helvetica Neue"/>
                <w:color w:val="000000"/>
                <w:kern w:val="2"/>
                <w:sz w:val="24"/>
                <w:szCs w:val="24"/>
                <w:shd w:fill="auto" w:val="clear"/>
                <w:lang w:val="cs-CZ" w:eastAsia="zh-CN" w:bidi="hi-IN"/>
              </w:rPr>
              <w:t>za každý den nedodržení minimální dostupnosti</w:t>
            </w:r>
          </w:p>
        </w:tc>
      </w:tr>
    </w:tbl>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t>V</w:t>
      </w:r>
      <w:r>
        <w:rPr>
          <w:rFonts w:eastAsia="Songti SC" w:cs="Arial Unicode MS" w:ascii="Helvetica Neue" w:hAnsi="Helvetica Neue"/>
          <w:b w:val="false"/>
          <w:bCs w:val="false"/>
          <w:color w:val="000000"/>
          <w:kern w:val="2"/>
          <w:sz w:val="24"/>
          <w:szCs w:val="24"/>
          <w:shd w:fill="auto" w:val="clear"/>
          <w:lang w:val="cs-CZ" w:eastAsia="zh-CN" w:bidi="hi-IN"/>
        </w:rPr>
        <w:t>ýše uvedené smluvní pokuty je Partner oprávněn uplatnit a požadovat jejich úhradu, jakmile jejich součet přesáhne 100 Kč bez DPH.</w:t>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Při posouzení oprávněnost smluvní pokuty se vychází z dat v dohledovém a informačním systému Sprintel. V případě sporu leží důkazní břemeno na straně Partnera.</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ascii="Helvetica Neue" w:hAnsi="Helvetica Neue"/>
          <w:b/>
          <w:bCs/>
          <w:sz w:val="28"/>
          <w:szCs w:val="28"/>
          <w:shd w:fill="auto" w:val="clear"/>
        </w:rPr>
      </w:r>
      <w:r>
        <w:br w:type="page"/>
      </w:r>
    </w:p>
    <w:p>
      <w:pPr>
        <w:pStyle w:val="Tlotextu"/>
        <w:spacing w:lineRule="auto" w:line="290" w:before="1" w:after="0"/>
        <w:ind w:left="136" w:right="135" w:hanging="0"/>
        <w:jc w:val="center"/>
        <w:rPr>
          <w:b w:val="false"/>
          <w:b w:val="false"/>
          <w:bCs w:val="false"/>
          <w:sz w:val="24"/>
          <w:szCs w:val="24"/>
        </w:rPr>
      </w:pPr>
      <w:r>
        <w:rPr>
          <w:b w:val="false"/>
          <w:bCs w:val="false"/>
          <w:sz w:val="24"/>
          <w:szCs w:val="24"/>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w:t>
      </w:r>
    </w:p>
    <w:p>
      <w:pPr>
        <w:pStyle w:val="Tlotextu"/>
        <w:spacing w:lineRule="auto" w:line="290" w:before="1" w:after="0"/>
        <w:ind w:left="136" w:right="135" w:hanging="0"/>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Smluvní pokuty vůči Partnerovi</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Smlouva sjednává tyto pokuty, které může Sprintel uplatnit v souvislosti s nedodržováním podmínek poskytováním služeb dle této smlouvy:</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tbl>
      <w:tblPr>
        <w:tblW w:w="9645" w:type="dxa"/>
        <w:jc w:val="left"/>
        <w:tblInd w:w="-5" w:type="dxa"/>
        <w:tblLayout w:type="fixed"/>
        <w:tblCellMar>
          <w:top w:w="55" w:type="dxa"/>
          <w:left w:w="55" w:type="dxa"/>
          <w:bottom w:w="55" w:type="dxa"/>
          <w:right w:w="55" w:type="dxa"/>
        </w:tblCellMar>
      </w:tblPr>
      <w:tblGrid>
        <w:gridCol w:w="345"/>
        <w:gridCol w:w="5034"/>
        <w:gridCol w:w="4266"/>
      </w:tblGrid>
      <w:tr>
        <w:trPr/>
        <w:tc>
          <w:tcPr>
            <w:tcW w:w="345"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r>
          </w:p>
        </w:tc>
        <w:tc>
          <w:tcPr>
            <w:tcW w:w="5034" w:type="dxa"/>
            <w:tcBorders>
              <w:top w:val="single" w:sz="4" w:space="0" w:color="000000"/>
              <w:left w:val="single" w:sz="4" w:space="0" w:color="000000"/>
              <w:bottom w:val="single" w:sz="4" w:space="0" w:color="000000"/>
            </w:tcBorders>
          </w:tcPr>
          <w:p>
            <w:pPr>
              <w:pStyle w:val="Obsahtabulky"/>
              <w:widowControl w:val="false"/>
              <w:rPr>
                <w:rFonts w:ascii="Helvetica Neue" w:hAnsi="Helvetica Neue"/>
                <w:b/>
                <w:b/>
                <w:bCs/>
              </w:rPr>
            </w:pPr>
            <w:r>
              <w:rPr>
                <w:rFonts w:ascii="Helvetica Neue" w:hAnsi="Helvetica Neue"/>
                <w:b/>
                <w:bCs/>
              </w:rPr>
              <w:t xml:space="preserve">  </w:t>
            </w:r>
            <w:r>
              <w:rPr>
                <w:rFonts w:ascii="Helvetica Neue" w:hAnsi="Helvetica Neue"/>
                <w:b/>
                <w:bCs/>
              </w:rPr>
              <w:t>D</w:t>
            </w:r>
            <w:r>
              <w:rPr>
                <w:rFonts w:eastAsia="Songti SC" w:cs="Arial Unicode MS" w:ascii="Helvetica Neue" w:hAnsi="Helvetica Neue"/>
                <w:b/>
                <w:bCs/>
                <w:color w:val="auto"/>
                <w:kern w:val="2"/>
                <w:sz w:val="24"/>
                <w:szCs w:val="24"/>
                <w:lang w:val="cs-CZ" w:eastAsia="zh-CN" w:bidi="hi-IN"/>
              </w:rPr>
              <w:t>ůvod pokuty</w:t>
            </w:r>
          </w:p>
        </w:tc>
        <w:tc>
          <w:tcPr>
            <w:tcW w:w="4266" w:type="dxa"/>
            <w:tcBorders>
              <w:top w:val="single" w:sz="4" w:space="0" w:color="000000"/>
              <w:left w:val="single" w:sz="4" w:space="0" w:color="000000"/>
              <w:bottom w:val="single" w:sz="4" w:space="0" w:color="000000"/>
              <w:right w:val="single" w:sz="4" w:space="0" w:color="000000"/>
            </w:tcBorders>
          </w:tcPr>
          <w:p>
            <w:pPr>
              <w:pStyle w:val="Obsahtabulky"/>
              <w:widowControl w:val="false"/>
              <w:rPr>
                <w:rFonts w:ascii="Helvetica Neue" w:hAnsi="Helvetica Neue"/>
                <w:b/>
                <w:b/>
                <w:bCs/>
              </w:rPr>
            </w:pPr>
            <w:r>
              <w:rPr>
                <w:rFonts w:ascii="Helvetica Neue" w:hAnsi="Helvetica Neue"/>
                <w:b/>
                <w:bCs/>
              </w:rPr>
              <w:t>V</w:t>
            </w:r>
            <w:r>
              <w:rPr>
                <w:rFonts w:eastAsia="Songti SC" w:cs="Arial Unicode MS" w:ascii="Helvetica Neue" w:hAnsi="Helvetica Neue"/>
                <w:b/>
                <w:bCs/>
                <w:color w:val="auto"/>
                <w:kern w:val="2"/>
                <w:sz w:val="24"/>
                <w:szCs w:val="24"/>
                <w:lang w:val="cs-CZ" w:eastAsia="zh-CN" w:bidi="hi-IN"/>
              </w:rPr>
              <w:t>ýše pokuty</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1)</w:t>
            </w:r>
          </w:p>
        </w:tc>
        <w:tc>
          <w:tcPr>
            <w:tcW w:w="5034" w:type="dxa"/>
            <w:tcBorders>
              <w:left w:val="single" w:sz="4" w:space="0" w:color="000000"/>
              <w:bottom w:val="single" w:sz="4" w:space="0" w:color="000000"/>
            </w:tcBorders>
          </w:tcPr>
          <w:p>
            <w:pPr>
              <w:pStyle w:val="Obsahtabulky"/>
              <w:widowControl w:val="false"/>
              <w:suppressLineNumbers/>
              <w:suppressAutoHyphens w:val="true"/>
              <w:bidi w:val="0"/>
              <w:spacing w:before="0" w:after="0"/>
              <w:ind w:left="113" w:right="0" w:hanging="0"/>
              <w:jc w:val="left"/>
              <w:rPr>
                <w:rFonts w:ascii="Helvetica Neue" w:hAnsi="Helvetica Neue"/>
              </w:rPr>
            </w:pPr>
            <w:r>
              <w:rPr>
                <w:rFonts w:ascii="Helvetica Neue" w:hAnsi="Helvetica Neue"/>
              </w:rPr>
              <w:t>Nedodržení minimálních rychlost</w:t>
            </w:r>
            <w:r>
              <w:rPr>
                <w:rFonts w:eastAsia="Songti SC" w:cs="Arial Unicode MS" w:ascii="Helvetica Neue" w:hAnsi="Helvetica Neue"/>
                <w:color w:val="auto"/>
                <w:kern w:val="2"/>
                <w:sz w:val="24"/>
                <w:szCs w:val="24"/>
                <w:lang w:val="cs-CZ" w:eastAsia="zh-CN" w:bidi="hi-IN"/>
              </w:rPr>
              <w:t>í služby poskytované koncovému úč</w:t>
            </w:r>
            <w:r>
              <w:rPr>
                <w:rFonts w:eastAsia="Songti SC" w:cs="Arial Unicode MS" w:ascii="Helvetica Neue" w:hAnsi="Helvetica Neue"/>
                <w:color w:val="auto"/>
                <w:kern w:val="2"/>
                <w:sz w:val="24"/>
                <w:szCs w:val="24"/>
                <w:lang w:val="cs-CZ" w:eastAsia="zh-CN" w:bidi="hi-IN"/>
              </w:rPr>
              <w:t>astníkovi</w:t>
            </w:r>
            <w:r>
              <w:rPr>
                <w:rFonts w:eastAsia="Songti SC" w:cs="Arial Unicode MS" w:ascii="Helvetica Neue" w:hAnsi="Helvetica Neue"/>
                <w:color w:val="auto"/>
                <w:kern w:val="2"/>
                <w:sz w:val="24"/>
                <w:szCs w:val="24"/>
                <w:lang w:val="cs-CZ" w:eastAsia="zh-CN" w:bidi="hi-IN"/>
              </w:rPr>
              <w:t xml:space="preserve"> Partnera dle </w:t>
            </w:r>
            <w:r>
              <w:rPr>
                <w:rFonts w:eastAsia="Songti SC" w:cs="Arial Unicode MS" w:ascii="Helvetica Neue" w:hAnsi="Helvetica Neue"/>
                <w:b w:val="false"/>
                <w:bCs w:val="false"/>
                <w:color w:val="000000"/>
                <w:kern w:val="2"/>
                <w:sz w:val="24"/>
                <w:szCs w:val="24"/>
                <w:shd w:fill="auto" w:val="clear"/>
                <w:lang w:val="cs-CZ" w:eastAsia="zh-CN" w:bidi="hi-IN"/>
              </w:rPr>
              <w:t>čl. V.9. smlouvy</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5000 K</w:t>
            </w:r>
            <w:r>
              <w:rPr>
                <w:rFonts w:eastAsia="Songti SC" w:cs="Arial Unicode MS" w:ascii="Helvetica Neue" w:hAnsi="Helvetica Neue"/>
                <w:color w:val="auto"/>
                <w:kern w:val="2"/>
                <w:sz w:val="24"/>
                <w:szCs w:val="24"/>
                <w:lang w:val="cs-CZ" w:eastAsia="zh-CN" w:bidi="hi-IN"/>
              </w:rPr>
              <w:t>č za každý případ porušení</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2)</w:t>
            </w:r>
          </w:p>
        </w:tc>
        <w:tc>
          <w:tcPr>
            <w:tcW w:w="5034" w:type="dxa"/>
            <w:tcBorders>
              <w:left w:val="single" w:sz="4" w:space="0" w:color="000000"/>
              <w:bottom w:val="single" w:sz="4" w:space="0" w:color="000000"/>
            </w:tcBorders>
          </w:tcPr>
          <w:p>
            <w:pPr>
              <w:pStyle w:val="Obsahtabulky"/>
              <w:widowControl w:val="false"/>
              <w:suppressLineNumbers/>
              <w:suppressAutoHyphens w:val="true"/>
              <w:bidi w:val="0"/>
              <w:spacing w:before="0" w:after="0"/>
              <w:ind w:left="113" w:right="0" w:hanging="0"/>
              <w:jc w:val="left"/>
              <w:rPr>
                <w:highlight w:val="none"/>
                <w:shd w:fill="auto" w:val="clear"/>
              </w:rPr>
            </w:pPr>
            <w:r>
              <w:rPr>
                <w:rFonts w:ascii="Helvetica Neue" w:hAnsi="Helvetica Neue"/>
                <w:shd w:fill="auto" w:val="clear"/>
              </w:rPr>
              <w:t xml:space="preserve">Nedodržení minimálního souboru SLA </w:t>
            </w:r>
            <w:r>
              <w:rPr>
                <w:rFonts w:ascii="Helvetica Neue" w:hAnsi="Helvetica Neue"/>
                <w:b w:val="false"/>
                <w:bCs w:val="false"/>
                <w:sz w:val="24"/>
                <w:szCs w:val="24"/>
                <w:shd w:fill="auto" w:val="clear"/>
              </w:rPr>
              <w:t xml:space="preserve">dle </w:t>
            </w:r>
            <w:r>
              <w:rPr>
                <w:rFonts w:eastAsia="Songti SC" w:cs="Arial Unicode MS" w:ascii="Helvetica Neue" w:hAnsi="Helvetica Neue"/>
                <w:b w:val="false"/>
                <w:bCs w:val="false"/>
                <w:color w:val="000000"/>
                <w:kern w:val="2"/>
                <w:sz w:val="24"/>
                <w:szCs w:val="24"/>
                <w:shd w:fill="auto" w:val="clear"/>
                <w:lang w:val="cs-CZ" w:eastAsia="zh-CN" w:bidi="hi-IN"/>
              </w:rPr>
              <w:t xml:space="preserve">čl. V.10. </w:t>
            </w:r>
            <w:r>
              <w:rPr>
                <w:rFonts w:ascii="Helvetica Neue" w:hAnsi="Helvetica Neue"/>
                <w:b w:val="false"/>
                <w:bCs w:val="false"/>
                <w:sz w:val="24"/>
                <w:szCs w:val="24"/>
                <w:shd w:fill="auto" w:val="clear"/>
              </w:rPr>
              <w:t>smlouvy</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5000 K</w:t>
            </w:r>
            <w:r>
              <w:rPr>
                <w:rFonts w:eastAsia="Songti SC" w:cs="Arial Unicode MS" w:ascii="Helvetica Neue" w:hAnsi="Helvetica Neue"/>
                <w:color w:val="auto"/>
                <w:kern w:val="2"/>
                <w:sz w:val="24"/>
                <w:szCs w:val="24"/>
                <w:lang w:val="cs-CZ" w:eastAsia="zh-CN" w:bidi="hi-IN"/>
              </w:rPr>
              <w:t>č za každý případ porušení</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3)</w:t>
            </w:r>
          </w:p>
        </w:tc>
        <w:tc>
          <w:tcPr>
            <w:tcW w:w="5034" w:type="dxa"/>
            <w:tcBorders>
              <w:left w:val="single" w:sz="4" w:space="0" w:color="000000"/>
              <w:bottom w:val="single" w:sz="4" w:space="0" w:color="000000"/>
            </w:tcBorders>
          </w:tcPr>
          <w:p>
            <w:pPr>
              <w:pStyle w:val="Tlotextu"/>
              <w:widowControl w:val="false"/>
              <w:suppressAutoHyphens w:val="true"/>
              <w:bidi w:val="0"/>
              <w:spacing w:lineRule="auto" w:line="290" w:before="1" w:after="0"/>
              <w:ind w:left="113" w:right="113"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t xml:space="preserve">Nedodržení závazku součinnosti při měření dle </w:t>
            </w:r>
            <w:r>
              <w:rPr>
                <w:rFonts w:eastAsia="Songti SC" w:cs="Arial Unicode MS" w:ascii="Helvetica Neue" w:hAnsi="Helvetica Neue"/>
                <w:b w:val="false"/>
                <w:bCs w:val="false"/>
                <w:color w:val="000000"/>
                <w:kern w:val="2"/>
                <w:sz w:val="24"/>
                <w:szCs w:val="24"/>
                <w:shd w:fill="auto" w:val="clear"/>
                <w:lang w:val="cs-CZ" w:eastAsia="zh-CN" w:bidi="hi-IN"/>
              </w:rPr>
              <w:t xml:space="preserve">čl. V.12. </w:t>
            </w:r>
            <w:r>
              <w:rPr>
                <w:rFonts w:ascii="Helvetica Neue" w:hAnsi="Helvetica Neue"/>
                <w:b w:val="false"/>
                <w:bCs w:val="false"/>
                <w:sz w:val="24"/>
                <w:szCs w:val="24"/>
                <w:shd w:fill="auto" w:val="clear"/>
              </w:rPr>
              <w:t>smlouvy</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5000 K</w:t>
            </w:r>
            <w:r>
              <w:rPr>
                <w:rFonts w:eastAsia="Songti SC" w:cs="Arial Unicode MS" w:ascii="Helvetica Neue" w:hAnsi="Helvetica Neue"/>
                <w:color w:val="auto"/>
                <w:kern w:val="2"/>
                <w:sz w:val="24"/>
                <w:szCs w:val="24"/>
                <w:lang w:val="cs-CZ" w:eastAsia="zh-CN" w:bidi="hi-IN"/>
              </w:rPr>
              <w:t>č za každý případ porušení</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4)</w:t>
            </w:r>
          </w:p>
        </w:tc>
        <w:tc>
          <w:tcPr>
            <w:tcW w:w="5034" w:type="dxa"/>
            <w:tcBorders>
              <w:left w:val="single" w:sz="4" w:space="0" w:color="000000"/>
              <w:bottom w:val="single" w:sz="4" w:space="0" w:color="000000"/>
            </w:tcBorders>
          </w:tcPr>
          <w:p>
            <w:pPr>
              <w:pStyle w:val="Tlotextu"/>
              <w:widowControl w:val="false"/>
              <w:suppressAutoHyphens w:val="true"/>
              <w:bidi w:val="0"/>
              <w:spacing w:lineRule="auto" w:line="290" w:before="1" w:after="0"/>
              <w:ind w:left="113" w:right="113"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t>Nedodržení závazku</w:t>
            </w:r>
            <w:r>
              <w:rPr>
                <w:rFonts w:eastAsia="Songti SC" w:cs="Arial Unicode MS" w:ascii="Helvetica Neue" w:hAnsi="Helvetica Neue"/>
                <w:b w:val="false"/>
                <w:bCs w:val="false"/>
                <w:color w:val="000000"/>
                <w:kern w:val="2"/>
                <w:sz w:val="24"/>
                <w:szCs w:val="24"/>
                <w:shd w:fill="auto" w:val="clear"/>
                <w:lang w:val="cs-CZ" w:eastAsia="zh-CN" w:bidi="hi-IN"/>
              </w:rPr>
              <w:t xml:space="preserve"> </w:t>
            </w:r>
            <w:r>
              <w:rPr>
                <w:rFonts w:ascii="Helvetica Neue" w:hAnsi="Helvetica Neue"/>
                <w:b w:val="false"/>
                <w:bCs w:val="false"/>
                <w:sz w:val="24"/>
                <w:szCs w:val="24"/>
                <w:shd w:fill="auto" w:val="clear"/>
              </w:rPr>
              <w:t>poskytovat slu</w:t>
            </w:r>
            <w:r>
              <w:rPr>
                <w:rFonts w:eastAsia="Songti SC" w:cs="Arial Unicode MS" w:ascii="Helvetica Neue" w:hAnsi="Helvetica Neue"/>
                <w:b w:val="false"/>
                <w:bCs w:val="false"/>
                <w:color w:val="000000"/>
                <w:kern w:val="2"/>
                <w:sz w:val="24"/>
                <w:szCs w:val="24"/>
                <w:shd w:fill="auto" w:val="clear"/>
                <w:lang w:val="cs-CZ" w:eastAsia="zh-CN" w:bidi="hi-IN"/>
              </w:rPr>
              <w:t>žby prostřednictvím zpřístupněných částí sítě pouze na adresách dle přílohy č. 1</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50000 K</w:t>
            </w:r>
            <w:r>
              <w:rPr>
                <w:rFonts w:eastAsia="Songti SC" w:cs="Arial Unicode MS" w:ascii="Helvetica Neue" w:hAnsi="Helvetica Neue"/>
                <w:color w:val="auto"/>
                <w:kern w:val="2"/>
                <w:sz w:val="24"/>
                <w:szCs w:val="24"/>
                <w:lang w:val="cs-CZ" w:eastAsia="zh-CN" w:bidi="hi-IN"/>
              </w:rPr>
              <w:t>č za každý případ porušení</w:t>
            </w:r>
          </w:p>
        </w:tc>
      </w:tr>
      <w:tr>
        <w:trPr/>
        <w:tc>
          <w:tcPr>
            <w:tcW w:w="345" w:type="dxa"/>
            <w:tcBorders>
              <w:left w:val="single" w:sz="4" w:space="0" w:color="000000"/>
              <w:bottom w:val="single" w:sz="4" w:space="0" w:color="000000"/>
            </w:tcBorders>
          </w:tcPr>
          <w:p>
            <w:pPr>
              <w:pStyle w:val="Obsahtabulky"/>
              <w:widowControl w:val="false"/>
              <w:rPr>
                <w:rFonts w:ascii="Helvetica Neue" w:hAnsi="Helvetica Neue"/>
              </w:rPr>
            </w:pPr>
            <w:r>
              <w:rPr>
                <w:rFonts w:ascii="Helvetica Neue" w:hAnsi="Helvetica Neue"/>
              </w:rPr>
              <w:t>5)</w:t>
            </w:r>
          </w:p>
        </w:tc>
        <w:tc>
          <w:tcPr>
            <w:tcW w:w="5034" w:type="dxa"/>
            <w:tcBorders>
              <w:left w:val="single" w:sz="4" w:space="0" w:color="000000"/>
              <w:bottom w:val="single" w:sz="4" w:space="0" w:color="000000"/>
            </w:tcBorders>
          </w:tcPr>
          <w:p>
            <w:pPr>
              <w:pStyle w:val="Obsahtabulky"/>
              <w:widowControl w:val="false"/>
              <w:suppressLineNumbers/>
              <w:suppressAutoHyphens w:val="true"/>
              <w:bidi w:val="0"/>
              <w:spacing w:before="0" w:after="0"/>
              <w:ind w:left="113" w:right="0" w:hanging="0"/>
              <w:jc w:val="left"/>
              <w:rPr>
                <w:rFonts w:ascii="Helvetica Neue" w:hAnsi="Helvetica Neue"/>
              </w:rPr>
            </w:pPr>
            <w:r>
              <w:rPr>
                <w:rFonts w:ascii="Helvetica Neue" w:hAnsi="Helvetica Neue"/>
              </w:rPr>
              <w:t>P</w:t>
            </w:r>
            <w:r>
              <w:rPr>
                <w:rFonts w:eastAsia="Songti SC" w:cs="Arial Unicode MS" w:ascii="Helvetica Neue" w:hAnsi="Helvetica Neue"/>
                <w:color w:val="auto"/>
                <w:kern w:val="2"/>
                <w:sz w:val="24"/>
                <w:szCs w:val="24"/>
                <w:lang w:val="cs-CZ" w:eastAsia="zh-CN" w:bidi="hi-IN"/>
              </w:rPr>
              <w:t>řipojení jiného adresního místa než místa uvedeného v příloze č. 1</w:t>
            </w:r>
          </w:p>
        </w:tc>
        <w:tc>
          <w:tcPr>
            <w:tcW w:w="4266" w:type="dxa"/>
            <w:tcBorders>
              <w:left w:val="single" w:sz="4" w:space="0" w:color="000000"/>
              <w:bottom w:val="single" w:sz="4" w:space="0" w:color="000000"/>
              <w:right w:val="single" w:sz="4" w:space="0" w:color="000000"/>
            </w:tcBorders>
          </w:tcPr>
          <w:p>
            <w:pPr>
              <w:pStyle w:val="Obsahtabulky"/>
              <w:widowControl w:val="false"/>
              <w:suppressLineNumbers/>
              <w:suppressAutoHyphens w:val="true"/>
              <w:bidi w:val="0"/>
              <w:spacing w:before="0" w:after="0"/>
              <w:ind w:left="170" w:right="0" w:hanging="0"/>
              <w:jc w:val="left"/>
              <w:rPr>
                <w:rFonts w:ascii="Helvetica Neue" w:hAnsi="Helvetica Neue"/>
              </w:rPr>
            </w:pPr>
            <w:r>
              <w:rPr>
                <w:rFonts w:ascii="Helvetica Neue" w:hAnsi="Helvetica Neue"/>
              </w:rPr>
              <w:t>5000 K</w:t>
            </w:r>
            <w:r>
              <w:rPr>
                <w:rFonts w:eastAsia="Songti SC" w:cs="Arial Unicode MS" w:ascii="Helvetica Neue" w:hAnsi="Helvetica Neue"/>
                <w:color w:val="auto"/>
                <w:kern w:val="2"/>
                <w:sz w:val="24"/>
                <w:szCs w:val="24"/>
                <w:lang w:val="cs-CZ" w:eastAsia="zh-CN" w:bidi="hi-IN"/>
              </w:rPr>
              <w:t>č za každý případ porušení</w:t>
            </w:r>
          </w:p>
        </w:tc>
      </w:tr>
    </w:tbl>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t>V</w:t>
      </w:r>
      <w:r>
        <w:rPr>
          <w:rFonts w:eastAsia="Songti SC" w:cs="Arial Unicode MS" w:ascii="Helvetica Neue" w:hAnsi="Helvetica Neue"/>
          <w:b w:val="false"/>
          <w:bCs w:val="false"/>
          <w:color w:val="000000"/>
          <w:kern w:val="2"/>
          <w:sz w:val="24"/>
          <w:szCs w:val="24"/>
          <w:shd w:fill="auto" w:val="clear"/>
          <w:lang w:val="cs-CZ" w:eastAsia="zh-CN" w:bidi="hi-IN"/>
        </w:rPr>
        <w:t>ýše uvedené smluvní pokuty je Partner oprávněn uplatnit a požadovat jejich úhradu, jakmile jejich součet přesáhne 100 Kč bez DPH. Úhradou pokuty není dotčeno právo Sprintel podniknout další kroky k nápravě nebo zamezení dalšímu porušování podmínek, vč. postupu dle čl V.13 nebo VI.7 Smlouvy.</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w:t>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Pravidla pro platby</w:t>
      </w:r>
    </w:p>
    <w:p>
      <w:pPr>
        <w:pStyle w:val="Tlotextu"/>
        <w:spacing w:lineRule="auto" w:line="290" w:before="1" w:after="0"/>
        <w:ind w:left="136" w:right="135" w:hanging="0"/>
        <w:jc w:val="left"/>
        <w:rPr>
          <w:rFonts w:ascii="Helvetica Neue" w:hAnsi="Helvetica Neue"/>
          <w:b w:val="false"/>
          <w:b w:val="false"/>
          <w:bCs w:val="false"/>
          <w:sz w:val="20"/>
          <w:szCs w:val="20"/>
          <w:highlight w:val="none"/>
          <w:shd w:fill="auto" w:val="clear"/>
        </w:rPr>
      </w:pPr>
      <w:r>
        <w:rPr>
          <w:rFonts w:ascii="Helvetica Neue" w:hAnsi="Helvetica Neue"/>
          <w:b w:val="false"/>
          <w:bCs w:val="false"/>
          <w:sz w:val="20"/>
          <w:szCs w:val="20"/>
          <w:shd w:fill="auto" w:val="clear"/>
        </w:rPr>
      </w:r>
    </w:p>
    <w:p>
      <w:pPr>
        <w:pStyle w:val="Tlotextu"/>
        <w:spacing w:lineRule="auto" w:line="290" w:before="1" w:after="0"/>
        <w:ind w:left="136" w:right="135" w:hanging="0"/>
        <w:jc w:val="both"/>
        <w:rPr/>
      </w:pPr>
      <w:r>
        <w:rPr>
          <w:rFonts w:eastAsia="Songti SC" w:cs="Arial Unicode MS" w:ascii="Helvetica Neue" w:hAnsi="Helvetica Neue"/>
          <w:b w:val="false"/>
          <w:bCs w:val="false"/>
          <w:color w:val="000000"/>
          <w:kern w:val="2"/>
          <w:sz w:val="24"/>
          <w:szCs w:val="24"/>
          <w:shd w:fill="auto" w:val="clear"/>
          <w:lang w:val="cs-CZ" w:eastAsia="zh-CN" w:bidi="hi-IN"/>
        </w:rPr>
        <w:t>Smluvní strany budou daňové doklady a vyúčtování smluvních pokut vystavovat se splatností 14dnů a hradit faktury protistraně ve lhůtě splatnosti, přičemž za uhrazenou se faktura či smluvní pokuta považuje připsání celé účtované částky na bankovní účet protistrany. Pro případ prodlení s úhradou si smluvní strany sjednávají úrok z prodlení ve výši 0,05% z dlužné částky za každý den prodlení (i započatý) a zavazují se protistraně tento úrok uhradit.</w:t>
      </w:r>
    </w:p>
    <w:p>
      <w:pPr>
        <w:pStyle w:val="Tlotextu"/>
        <w:spacing w:lineRule="auto" w:line="290" w:before="1" w:after="0"/>
        <w:ind w:left="136" w:right="135" w:hanging="0"/>
        <w:jc w:val="left"/>
        <w:rPr>
          <w:rFonts w:eastAsia="Songti SC" w:cs="Arial Unicode MS"/>
          <w:color w:val="000000"/>
          <w:kern w:val="2"/>
          <w:lang w:val="cs-CZ" w:eastAsia="zh-CN" w:bidi="hi-IN"/>
        </w:rPr>
      </w:pPr>
      <w:r>
        <w:rPr/>
      </w:r>
    </w:p>
    <w:sectPr>
      <w:headerReference w:type="default" r:id="rId3"/>
      <w:headerReference w:type="first" r:id="rId4"/>
      <w:footerReference w:type="default" r:id="rId5"/>
      <w:footerReference w:type="first" r:id="rId6"/>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Helvetica Neue">
    <w:charset w:val="01"/>
    <w:family w:val="roman"/>
    <w:pitch w:val="variable"/>
  </w:font>
  <w:font w:name="Tahoma">
    <w:charset w:val="01"/>
    <w:family w:val="roman"/>
    <w:pitch w:val="variable"/>
  </w:font>
  <w:font w:name="Symbol">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snapToGrid w:val="false"/>
      <w:jc w:val="left"/>
      <w:rPr/>
    </w:pPr>
    <w:r>
      <w:rPr/>
      <mc:AlternateContent>
        <mc:Choice Requires="wps">
          <w:drawing>
            <wp:anchor behindDoc="1" distT="635" distB="635" distL="635" distR="635" simplePos="0" locked="0" layoutInCell="0" allowOverlap="1" relativeHeight="9">
              <wp:simplePos x="0" y="0"/>
              <wp:positionH relativeFrom="column">
                <wp:posOffset>79375</wp:posOffset>
              </wp:positionH>
              <wp:positionV relativeFrom="paragraph">
                <wp:posOffset>79375</wp:posOffset>
              </wp:positionV>
              <wp:extent cx="6120130" cy="0"/>
              <wp:effectExtent l="635" t="635" r="635" b="635"/>
              <wp:wrapNone/>
              <wp:docPr id="4"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rFonts w:ascii="Helvetica Neue" w:hAnsi="Helvetica Neue"/>
            </w:rPr>
          </w:pPr>
          <w:r>
            <w:rPr>
              <w:rFonts w:ascii="Helvetica Neue" w:hAnsi="Helvetica Neue"/>
            </w:rPr>
            <w:t>Příloha č. 9</w:t>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5</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5</w:t>
          </w:r>
          <w:r>
            <w:rPr>
              <w:rFonts w:ascii="Helvetica Neue" w:hAnsi="Helvetica Neue"/>
            </w:rPr>
            <w:fldChar w:fldCharType="end"/>
          </w:r>
        </w:p>
      </w:tc>
    </w:tr>
  </w:tbl>
  <w:p>
    <w:pPr>
      <w:pStyle w:val="Zpat"/>
      <w:bidi w:val="0"/>
      <w:snapToGrid w:val="false"/>
      <w:jc w:val="lef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jc w:val="left"/>
      <w:rPr>
        <w:sz w:val="4"/>
        <w:szCs w:val="4"/>
      </w:rPr>
    </w:pPr>
    <w:r>
      <w:rPr>
        <w:sz w:val="4"/>
        <w:szCs w:val="4"/>
      </w:rPr>
    </w:r>
  </w:p>
  <w:tbl>
    <w:tblPr>
      <w:tblW w:w="9546" w:type="dxa"/>
      <w:jc w:val="left"/>
      <w:tblInd w:w="-70" w:type="dxa"/>
      <w:tblLayout w:type="fixed"/>
      <w:tblCellMar>
        <w:top w:w="0" w:type="dxa"/>
        <w:left w:w="70" w:type="dxa"/>
        <w:bottom w:w="0" w:type="dxa"/>
        <w:right w:w="70" w:type="dxa"/>
      </w:tblCellMar>
    </w:tblPr>
    <w:tblGrid>
      <w:gridCol w:w="4773"/>
      <w:gridCol w:w="4772"/>
    </w:tblGrid>
    <w:tr>
      <w:trPr/>
      <w:tc>
        <w:tcPr>
          <w:tcW w:w="4773" w:type="dxa"/>
          <w:tcBorders/>
        </w:tcPr>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Zpat"/>
            <w:widowControl w:val="false"/>
            <w:bidi w:val="0"/>
            <w:jc w:val="right"/>
            <w:rPr/>
          </w:pPr>
          <w:r>
            <w:rPr>
              <w:rFonts w:cs="Tahoma" w:ascii="Tahoma" w:hAnsi="Tahoma"/>
              <w:sz w:val="22"/>
              <w:szCs w:val="22"/>
            </w:rPr>
            <w:t>www.sprintel.cz  info@sprintel.cz</w:t>
          </w:r>
        </w:p>
        <w:p>
          <w:pPr>
            <w:pStyle w:val="Zpat"/>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Zhlav"/>
            <w:pageBreakBefore/>
            <w:widowControl w:val="false"/>
            <w:bidi w:val="0"/>
            <w:jc w:val="left"/>
            <w:rPr>
              <w:highlight w:val="none"/>
              <w:shd w:fill="auto" w:val="clear"/>
            </w:rPr>
          </w:pPr>
          <w:r>
            <w:drawing>
              <wp:anchor behindDoc="1" distT="0" distB="0" distL="0" distR="0" simplePos="0" locked="0" layoutInCell="1" allowOverlap="1" relativeHeight="13">
                <wp:simplePos x="0" y="0"/>
                <wp:positionH relativeFrom="column">
                  <wp:posOffset>320040</wp:posOffset>
                </wp:positionH>
                <wp:positionV relativeFrom="paragraph">
                  <wp:posOffset>786130</wp:posOffset>
                </wp:positionV>
                <wp:extent cx="5380355" cy="8315325"/>
                <wp:effectExtent l="0" t="0" r="0" b="0"/>
                <wp:wrapNone/>
                <wp:docPr id="2"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r>
            <w:rPr>
              <w:rFonts w:ascii="Helvetica Neue" w:hAnsi="Helvetica Neue"/>
              <w:shd w:fill="auto" w:val="clear"/>
            </w:rPr>
            <w:t>Referenční velkoobchodní nabídka</w:t>
          </w:r>
        </w:p>
      </w:tc>
      <w:tc>
        <w:tcPr>
          <w:tcW w:w="4819" w:type="dxa"/>
          <w:tcBorders/>
        </w:tcPr>
        <w:p>
          <w:pPr>
            <w:pStyle w:val="Obsahtabulky"/>
            <w:widowControl w:val="false"/>
            <w:bidi w:val="0"/>
            <w:jc w:val="right"/>
            <w:rPr>
              <w:highlight w:val="none"/>
              <w:shd w:fill="auto" w:val="clear"/>
            </w:rPr>
          </w:pPr>
          <w:r>
            <w:rPr>
              <w:rFonts w:ascii="Helvetica Neue" w:hAnsi="Helvetica Neue"/>
              <w:shd w:fill="auto" w:val="clear"/>
            </w:rPr>
            <w:t>Verze 0.1 ze dne 2.1.2024</w:t>
          </w:r>
        </w:p>
      </w:tc>
    </w:tr>
  </w:tbl>
  <w:p>
    <w:pPr>
      <w:pStyle w:val="Zhlav"/>
      <w:bidi w:val="0"/>
      <w:jc w:val="left"/>
      <w:rPr>
        <w:rFonts w:ascii="Helvetica Neue" w:hAnsi="Helvetica Neue"/>
        <w:sz w:val="4"/>
        <w:szCs w:val="4"/>
      </w:rPr>
    </w:pPr>
    <w:r>
      <w:rPr>
        <w:rFonts w:ascii="Helvetica Neue" w:hAnsi="Helvetica Neue"/>
        <w:sz w:val="4"/>
        <w:szCs w:val="4"/>
      </w:rPr>
    </w:r>
  </w:p>
  <w:p>
    <w:pPr>
      <w:pStyle w:val="Zhlav"/>
      <w:bidi w:val="0"/>
      <w:jc w:val="left"/>
      <w:rPr>
        <w:sz w:val="12"/>
        <w:szCs w:val="12"/>
      </w:rPr>
    </w:pPr>
    <w:r>
      <w:rPr>
        <w:sz w:val="12"/>
        <w:szCs w:val="12"/>
      </w:rPr>
      <mc:AlternateContent>
        <mc:Choice Requires="wps">
          <w:drawing>
            <wp:anchor behindDoc="1" distT="635" distB="635" distL="635" distR="635" simplePos="0" locked="0" layoutInCell="0" allowOverlap="1" relativeHeight="5">
              <wp:simplePos x="0" y="0"/>
              <wp:positionH relativeFrom="column">
                <wp:posOffset>79375</wp:posOffset>
              </wp:positionH>
              <wp:positionV relativeFrom="paragraph">
                <wp:posOffset>79375</wp:posOffset>
              </wp:positionV>
              <wp:extent cx="6120130" cy="0"/>
              <wp:effectExtent l="635" t="635" r="635" b="635"/>
              <wp:wrapNone/>
              <wp:docPr id="3"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hlav"/>
      <w:bidi w:val="0"/>
      <w:jc w:val="left"/>
      <w:rPr/>
    </w:pPr>
    <w:r>
      <w:rPr/>
    </w:r>
  </w:p>
  <w:p>
    <w:pPr>
      <w:pStyle w:val="Zhlav"/>
      <w:bidi w:val="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856"/>
        </w:tabs>
        <w:ind w:left="856" w:hanging="360"/>
      </w:pPr>
      <w:rPr>
        <w:rFonts w:ascii="Symbol" w:hAnsi="Symbol" w:cs="Symbol" w:hint="default"/>
      </w:rPr>
    </w:lvl>
    <w:lvl w:ilvl="1">
      <w:start w:val="1"/>
      <w:numFmt w:val="bullet"/>
      <w:lvlText w:val="◦"/>
      <w:lvlJc w:val="left"/>
      <w:pPr>
        <w:tabs>
          <w:tab w:val="num" w:pos="1216"/>
        </w:tabs>
        <w:ind w:left="1216" w:hanging="360"/>
      </w:pPr>
      <w:rPr>
        <w:rFonts w:ascii="OpenSymbol" w:hAnsi="OpenSymbol" w:cs="OpenSymbol" w:hint="default"/>
      </w:rPr>
    </w:lvl>
    <w:lvl w:ilvl="2">
      <w:start w:val="1"/>
      <w:numFmt w:val="bullet"/>
      <w:lvlText w:val="▪"/>
      <w:lvlJc w:val="left"/>
      <w:pPr>
        <w:tabs>
          <w:tab w:val="num" w:pos="1576"/>
        </w:tabs>
        <w:ind w:left="1576" w:hanging="360"/>
      </w:pPr>
      <w:rPr>
        <w:rFonts w:ascii="OpenSymbol" w:hAnsi="OpenSymbol" w:cs="OpenSymbol" w:hint="default"/>
      </w:rPr>
    </w:lvl>
    <w:lvl w:ilvl="3">
      <w:start w:val="1"/>
      <w:numFmt w:val="bullet"/>
      <w:lvlText w:val=""/>
      <w:lvlJc w:val="left"/>
      <w:pPr>
        <w:tabs>
          <w:tab w:val="num" w:pos="1936"/>
        </w:tabs>
        <w:ind w:left="1936" w:hanging="360"/>
      </w:pPr>
      <w:rPr>
        <w:rFonts w:ascii="Symbol" w:hAnsi="Symbol" w:cs="Symbol" w:hint="default"/>
      </w:rPr>
    </w:lvl>
    <w:lvl w:ilvl="4">
      <w:start w:val="1"/>
      <w:numFmt w:val="bullet"/>
      <w:lvlText w:val="◦"/>
      <w:lvlJc w:val="left"/>
      <w:pPr>
        <w:tabs>
          <w:tab w:val="num" w:pos="2296"/>
        </w:tabs>
        <w:ind w:left="2296" w:hanging="360"/>
      </w:pPr>
      <w:rPr>
        <w:rFonts w:ascii="OpenSymbol" w:hAnsi="OpenSymbol" w:cs="OpenSymbol" w:hint="default"/>
      </w:rPr>
    </w:lvl>
    <w:lvl w:ilvl="5">
      <w:start w:val="1"/>
      <w:numFmt w:val="bullet"/>
      <w:lvlText w:val="▪"/>
      <w:lvlJc w:val="left"/>
      <w:pPr>
        <w:tabs>
          <w:tab w:val="num" w:pos="2656"/>
        </w:tabs>
        <w:ind w:left="2656" w:hanging="360"/>
      </w:pPr>
      <w:rPr>
        <w:rFonts w:ascii="OpenSymbol" w:hAnsi="OpenSymbol" w:cs="OpenSymbol" w:hint="default"/>
      </w:rPr>
    </w:lvl>
    <w:lvl w:ilvl="6">
      <w:start w:val="1"/>
      <w:numFmt w:val="bullet"/>
      <w:lvlText w:val=""/>
      <w:lvlJc w:val="left"/>
      <w:pPr>
        <w:tabs>
          <w:tab w:val="num" w:pos="3016"/>
        </w:tabs>
        <w:ind w:left="3016" w:hanging="360"/>
      </w:pPr>
      <w:rPr>
        <w:rFonts w:ascii="Symbol" w:hAnsi="Symbol" w:cs="Symbol" w:hint="default"/>
      </w:rPr>
    </w:lvl>
    <w:lvl w:ilvl="7">
      <w:start w:val="1"/>
      <w:numFmt w:val="bullet"/>
      <w:lvlText w:val="◦"/>
      <w:lvlJc w:val="left"/>
      <w:pPr>
        <w:tabs>
          <w:tab w:val="num" w:pos="3376"/>
        </w:tabs>
        <w:ind w:left="3376" w:hanging="360"/>
      </w:pPr>
      <w:rPr>
        <w:rFonts w:ascii="OpenSymbol" w:hAnsi="OpenSymbol" w:cs="OpenSymbol" w:hint="default"/>
      </w:rPr>
    </w:lvl>
    <w:lvl w:ilvl="8">
      <w:start w:val="1"/>
      <w:numFmt w:val="bullet"/>
      <w:lvlText w:val="▪"/>
      <w:lvlJc w:val="left"/>
      <w:pPr>
        <w:tabs>
          <w:tab w:val="num" w:pos="3736"/>
        </w:tabs>
        <w:ind w:left="3736"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Nadpis1">
    <w:name w:val="Heading 1"/>
    <w:basedOn w:val="Normal"/>
    <w:qFormat/>
    <w:pPr>
      <w:ind w:left="491" w:hanging="357"/>
      <w:outlineLvl w:val="0"/>
    </w:pPr>
    <w:rPr>
      <w:rFonts w:ascii="Arial" w:hAnsi="Arial" w:eastAsia="Arial" w:cs="Arial"/>
      <w:sz w:val="32"/>
      <w:szCs w:val="32"/>
    </w:rPr>
  </w:style>
  <w:style w:type="character" w:styleId="Internetovodkaz">
    <w:name w:val="Internetový odkaz"/>
    <w:rPr>
      <w:color w:val="000080"/>
      <w:u w:val="single"/>
      <w:lang w:val="zxx" w:eastAsia="zxx" w:bidi="zxx"/>
    </w:rPr>
  </w:style>
  <w:style w:type="character" w:styleId="Odrky">
    <w:name w:val="Odrážky"/>
    <w:qFormat/>
    <w:rPr>
      <w:rFonts w:ascii="OpenSymbol" w:hAnsi="OpenSymbol" w:eastAsia="OpenSymbol" w:cs="OpenSymbol"/>
    </w:rPr>
  </w:style>
  <w:style w:type="character" w:styleId="Symbolyproslovn">
    <w:name w:val="Symboly pro číslování"/>
    <w:qFormat/>
    <w:rPr/>
  </w:style>
  <w:style w:type="paragraph" w:styleId="Nadpis">
    <w:name w:val="Nadpis"/>
    <w:basedOn w:val="Normal"/>
    <w:next w:val="Tlotextu"/>
    <w:qFormat/>
    <w:pPr>
      <w:keepNext w:val="true"/>
      <w:spacing w:before="240" w:after="120"/>
    </w:pPr>
    <w:rPr>
      <w:rFonts w:ascii="Liberation Sans" w:hAnsi="Liberation Sans" w:eastAsia="PingFang SC" w:cs="Arial Unicode M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Unicode MS"/>
    </w:rPr>
  </w:style>
  <w:style w:type="paragraph" w:styleId="Popisek">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Zhlav">
    <w:name w:val="Header"/>
    <w:basedOn w:val="Zhlavazpat"/>
    <w:pPr>
      <w:suppressLineNumbers/>
    </w:pPr>
    <w:rPr/>
  </w:style>
  <w:style w:type="paragraph" w:styleId="Zpat">
    <w:name w:val="Footer"/>
    <w:basedOn w:val="Zhlavazpat"/>
    <w:pPr>
      <w:suppressLineNumbers/>
      <w:spacing w:lineRule="auto" w:line="240" w:before="0" w:after="0"/>
      <w:contextualSpacing/>
    </w:pPr>
    <w:rPr/>
  </w:style>
  <w:style w:type="paragraph" w:styleId="Vodorovnra">
    <w:name w:val="Vodorovná čára"/>
    <w:basedOn w:val="Normal"/>
    <w:next w:val="Tlotextu"/>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left="636" w:hanging="0"/>
    </w:pPr>
    <w:rPr/>
  </w:style>
  <w:style w:type="paragraph" w:styleId="Bodydal">
    <w:name w:val="body - další"/>
    <w:basedOn w:val="ListParagraph"/>
    <w:qFormat/>
    <w:pPr>
      <w:widowControl/>
      <w:spacing w:lineRule="auto" w:line="276" w:before="0" w:after="120"/>
      <w:ind w:lef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
  <TotalTime>1047</TotalTime>
  <Application>LibreOffice/7.3.6.2$MacOSX_X86_64 LibreOffice_project/c28ca90fd6e1a19e189fc16c05f8f8924961e12e</Application>
  <AppVersion>15.0000</AppVersion>
  <Pages>5</Pages>
  <Words>1086</Words>
  <Characters>6309</Characters>
  <CharactersWithSpaces>7304</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2024-02-27T14:17:14Z</dcterms:modified>
  <cp:revision>295</cp:revision>
  <dc:subject/>
  <dc:title/>
</cp:coreProperties>
</file>

<file path=docProps/custom.xml><?xml version="1.0" encoding="utf-8"?>
<Properties xmlns="http://schemas.openxmlformats.org/officeDocument/2006/custom-properties" xmlns:vt="http://schemas.openxmlformats.org/officeDocument/2006/docPropsVTypes"/>
</file>