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4"/>
        <w:gridCol w:w="5910"/>
      </w:tblGrid>
      <w:tr>
        <w:trPr/>
        <w:tc>
          <w:tcPr>
            <w:tcW w:w="3734" w:type="dxa"/>
            <w:tcBorders/>
            <w:vAlign w:val="center"/>
          </w:tcPr>
          <w:p>
            <w:pPr>
              <w:pStyle w:val="Obsahtabulky"/>
              <w:widowControl w:val="false"/>
              <w:rPr/>
            </w:pPr>
            <w:r>
              <w:rPr/>
              <w:drawing>
                <wp:inline distT="0" distB="0" distL="0" distR="0">
                  <wp:extent cx="2300605" cy="1056640"/>
                  <wp:effectExtent l="0" t="0" r="0" b="0"/>
                  <wp:docPr id="1" name="Obrázek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605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  <w:tcBorders/>
          </w:tcPr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sz w:val="36"/>
                <w:szCs w:val="36"/>
              </w:rPr>
            </w:pPr>
            <w:r>
              <w:rPr>
                <w:rFonts w:ascii="Helvetica Neue" w:hAnsi="Helvetica Neue"/>
                <w:sz w:val="36"/>
                <w:szCs w:val="36"/>
              </w:rPr>
              <w:t xml:space="preserve">Referenční velkoobchodní nabídka 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přístupu na sítích VHCN budovaných s využitím dotačních programů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/>
            </w:pPr>
            <w:r>
              <w:rPr>
                <w:rFonts w:ascii="Helvetica Neue" w:hAnsi="Helvetica Neue"/>
                <w:sz w:val="40"/>
                <w:szCs w:val="40"/>
              </w:rPr>
              <w:t>„</w:t>
            </w:r>
            <w:r>
              <w:rPr>
                <w:rFonts w:ascii="Helvetica Neue" w:hAnsi="Helvetica Neue"/>
                <w:sz w:val="40"/>
                <w:szCs w:val="40"/>
              </w:rPr>
              <w:t>Digitální vysokokapacitní sítě“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/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>příloha č. 3a - Kolokační služby</w:t>
            </w:r>
          </w:p>
        </w:tc>
      </w:tr>
    </w:tbl>
    <w:p>
      <w:pPr>
        <w:pStyle w:val="Normal"/>
        <w:bidi w:val="0"/>
        <w:jc w:val="center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jc w:val="center"/>
        <w:rPr/>
      </w:pPr>
      <w:r>
        <w:rPr>
          <w:rFonts w:ascii="Helvetica Neue" w:hAnsi="Helvetica Neue"/>
        </w:rPr>
        <w:t>Kolokace aktivní a pasivní technologie</w:t>
      </w:r>
    </w:p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jc w:val="center"/>
        <w:rPr/>
      </w:pPr>
      <w:r>
        <w:rPr>
          <w:rFonts w:ascii="Helvetica Neue" w:hAnsi="Helvetica Neue"/>
        </w:rPr>
        <w:t>Technická specifikace a specifikace služby</w:t>
      </w:r>
    </w:p>
    <w:p>
      <w:pPr>
        <w:pStyle w:val="Tlotextu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tbl>
      <w:tblPr>
        <w:tblW w:w="9300" w:type="dxa"/>
        <w:jc w:val="left"/>
        <w:tblInd w:w="1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94"/>
        <w:gridCol w:w="4605"/>
      </w:tblGrid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Služba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č.</w:t>
            </w:r>
            <w:r>
              <w:rPr>
                <w:rFonts w:ascii="Helvetica Neue" w:hAnsi="Helvetica Neue"/>
                <w:sz w:val="26"/>
                <w:szCs w:val="26"/>
              </w:rPr>
              <w:t xml:space="preserve"> 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Partner – jm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éno/název: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Partner – ID: 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Obec: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Žádost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šetření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implementace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Zprovozn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ění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ředání služby Partnerovi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I. 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Služba kolokace aktivní a pasivní technologie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FFFF00" w:val="clear"/>
        </w:rPr>
      </w:pPr>
      <w:r>
        <w:rPr>
          <w:rFonts w:ascii="Helvetica Neue" w:hAnsi="Helvetica Neue"/>
          <w:shd w:fill="auto" w:val="clear"/>
        </w:rPr>
        <w:t>Dotovan</w:t>
      </w: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á síť je již ve svém návrhu dimenzována pro poskytnutí kolokačních služeb velkoobchodním partnerům. K tomuto účelu mají nově vybudované dotované PoPy dostatečnou kapacitní rezervu pro umístění potřebných síťových prvků. Další náročnější a objemnější technologie lze umisťovat do navazujících nedotovaných PoPů a datacenter Sprintel. Sprintel prohlašuje, že je vlastníkem nebo oprávněným uživatelem rozvaděčů a podpůrných technologií, jejíž části hodlá Partner využívat v rámci Smlouvy a které tato příloha specifikuje.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020" w:right="1020" w:gutter="0" w:header="567" w:top="1340" w:footer="567" w:bottom="1799"/>
          <w:pgNumType w:fmt="decimal"/>
          <w:formProt w:val="false"/>
          <w:textDirection w:val="lrTb"/>
          <w:docGrid w:type="default" w:linePitch="100" w:charSpace="0"/>
        </w:sect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Za podmínek stanovených Smlouvou a jejími přílohami tímto Sprintel uděluje Partnerovi právo k užívání technologického zázemí (tj. prostor v rozvaděči a podpůrné 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technologie – napájení 230V AC s jištěním 16A, UPS, agregát, klimatizace, pokud jsou instalovány) specifikované v této příloze.</w:t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/>
          <w:bCs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Místo přístupu ke službě kolokace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Příloha č. 2 – Schéma sítě, seznam jejích částí a pokrytých základních sídelních jednotek popisuje a specifikuje místa určené k přístupu s ohledem na dlouhodobou udržitelnost, udržovatelnost a zachování dlouhodobé kvality a možnosti budoucího rozvoje zpřístupňované infrastruktury. Přístup je tedy možný za podmínek specifikovaných touto smlouvou v aktivních uzlech (PoP) a datacentrech (DC). Přístup k síti za účelem propojení do míst kolokace poskytovaný na základě přílohy č. 3b je možný v rozvaděčích tvořících koncentrační bod (CP), v aktivních uzlech (PoP), datacentrech (DC) a po předchozím posouzení v kabelových komorách. V případech, kdy se jedná o venkovní prvky (rozvaděče CP, komory apod.) je přístup podmíněn také získáním potřebného povolení k realizaci napojení infrastruktury Partnera, pokud ta se v daném prvku (rozvaděč, komora apod.) dosud nenachází.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sz w:val="16"/>
          <w:szCs w:val="16"/>
          <w:highlight w:val="none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Kvalita služby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se zavazuje 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ři poskytování služby dodržovat kvalitativní parametry Pasivní infrastruktury stanovené v příloze č. 4 – Minimální soubor SLA.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/>
          <w:b/>
          <w:bCs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/>
          <w:bCs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Údržba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Po celou dobu u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žívání je Sprintel povinen udržovat zpřístupněné technologické zázemí, tj. zejména rozvaděče a podpůrné technologie, v plně funkčním stavu odpovídajícím Specifikacím a umožňujícím její nepřetržitý provoz. Při technických a servisních zásazích, údržbě a měření se postupuje dle přílohy č. 5 – Postupy a pravidla pro jednotlivé služby.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Ostatní ujednání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se zavazuje poskytnout Partnerovi službu kolokace v nedotovaných PoPech a datacentrech navazujících na dotovanou infrastrukturu, které jsou specifikované v příloze č. 2, a to pouze za účelem poskytování telekomunikačních služeb na adresních místech specifikovaných v příloze č. 1 a ohledem na kapacitu a technologickou vybavenost jednotlivých PoPů a datacenter. Umístění technologií v těchto uzlech za jiným účelem je věcí individuální dohody Sprintel a Partnera. Pokud není k dispozici vhodný prostor nebo dostupný prostor nemá potřebnou kapacitu, umožní Sprintel umístění zařízení Partnera v dostupné vzdálenosti mimo budovu hlavního rozvodu a poskytnu mu dostatečnou součinnost pro realizaci jiného technického řešení služby kolokace. Partnerovi bude umožněno v oprávněných případech (např. pokud to nevyloučí objektivní technické důvody) provádět instalaci vlastní technologie a zařízení, bez nutnosti objednávat všechny kolokační služby od Sprintel.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Závazek převzetí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Nejpozd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ěji do 5ti dnů od ukončení úspěšného zkušebního provozu v řádném stavu a bez závad a současně ve lhůtách, které určuje Smlouva a její přílohy, Partner převezme službu a převzetí stvrdí podpisem této přílohy.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Specifikace předmětu užívání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1) Um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ístění (Adresy, GPS)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  <w:t>2) Specifikace za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řízení a rozhraní, technická pravidla a podmínky pro přístup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3) Rozsah služeb (např. prostor v racku N x 1U, prostor na stožáru N x 1m2 atd.)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4) Síťová hierarchie přístupu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5) Podmínky kolokace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6) Zákres umístění/trasy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0"/>
          <w:szCs w:val="20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0"/>
          <w:szCs w:val="20"/>
          <w:lang w:val="cs-CZ" w:eastAsia="zh-C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Slu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žbu</w:t>
            </w:r>
            <w:r>
              <w:rPr>
                <w:rFonts w:ascii="Helvetica Neue" w:hAnsi="Helvetica Neue"/>
              </w:rPr>
              <w:t xml:space="preserve">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ředal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Slu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žbu</w:t>
            </w:r>
            <w:r>
              <w:rPr>
                <w:rFonts w:ascii="Helvetica Neue" w:hAnsi="Helvetica Neue"/>
              </w:rPr>
              <w:t xml:space="preserve">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left"/>
        <w:rPr>
          <w:sz w:val="8"/>
          <w:szCs w:val="8"/>
        </w:rPr>
      </w:pPr>
      <w:r>
        <w:rPr>
          <w:rFonts w:ascii="Helvetica Neue" w:hAnsi="Helvetica Neue"/>
          <w:sz w:val="8"/>
          <w:szCs w:val="8"/>
        </w:rPr>
        <w:t xml:space="preserve"> </w:t>
      </w:r>
    </w:p>
    <w:sectPr>
      <w:headerReference w:type="default" r:id="rId5"/>
      <w:footerReference w:type="default" r:id="rId6"/>
      <w:type w:val="nextPage"/>
      <w:pgSz w:w="11906" w:h="16838"/>
      <w:pgMar w:left="1134" w:right="1134" w:gutter="0" w:header="567" w:top="1340" w:footer="567" w:bottom="179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7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Zpat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Zpat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0" allowOverlap="1" relativeHeight="5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3a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Zpat"/>
      <w:bidi w:val="0"/>
      <w:snapToGrid w:val="false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bidi w:val="0"/>
      <w:jc w:val="left"/>
      <w:rPr/>
    </w:pPr>
    <w:r>
      <w:rPr/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320040</wp:posOffset>
          </wp:positionH>
          <wp:positionV relativeFrom="paragraph">
            <wp:posOffset>786130</wp:posOffset>
          </wp:positionV>
          <wp:extent cx="5380355" cy="8315325"/>
          <wp:effectExtent l="0" t="0" r="0" b="0"/>
          <wp:wrapNone/>
          <wp:docPr id="2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Zhlav"/>
      <w:bidi w:val="0"/>
      <w:jc w:val="lef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Zhlav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drawing>
              <wp:anchor behindDoc="1" distT="0" distB="0" distL="0" distR="0" simplePos="0" locked="0" layoutInCell="0" allowOverlap="1" relativeHeight="9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3" name="Obrázek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ázek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2.1.2024</w:t>
          </w:r>
        </w:p>
      </w:tc>
    </w:tr>
  </w:tbl>
  <w:p>
    <w:pPr>
      <w:pStyle w:val="Zhlav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Zhlav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0" allowOverlap="1" relativeHeight="3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4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Nadpis1">
    <w:name w:val="Heading 1"/>
    <w:basedOn w:val="Normal"/>
    <w:qFormat/>
    <w:pPr>
      <w:ind w:left="491" w:hanging="357"/>
      <w:outlineLvl w:val="0"/>
    </w:pPr>
    <w:rPr>
      <w:rFonts w:ascii="Arial" w:hAnsi="Arial" w:eastAsia="Arial" w:cs="Arial"/>
      <w:sz w:val="32"/>
      <w:szCs w:val="32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Zhlavazpat"/>
    <w:pPr>
      <w:suppressLineNumbers/>
    </w:pPr>
    <w:rPr/>
  </w:style>
  <w:style w:type="paragraph" w:styleId="Zpat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Tlotextu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636" w:hanging="0"/>
    </w:pPr>
    <w:rPr/>
  </w:style>
  <w:style w:type="paragraph" w:styleId="Bodydal">
    <w:name w:val="body - další"/>
    <w:basedOn w:val="ListParagraph"/>
    <w:qFormat/>
    <w:pPr>
      <w:widowControl/>
      <w:spacing w:lineRule="auto" w:line="276" w:before="0" w:after="120"/>
      <w:ind w:lef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514</TotalTime>
  <Application>LibreOffice/7.3.6.2$MacOSX_X86_64 LibreOffice_project/c28ca90fd6e1a19e189fc16c05f8f8924961e12e</Application>
  <AppVersion>15.0000</AppVersion>
  <Pages>3</Pages>
  <Words>637</Words>
  <Characters>3998</Characters>
  <CharactersWithSpaces>4615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2024-02-27T12:25:42Z</dcterms:modified>
  <cp:revision>175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