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4"/>
        <w:gridCol w:w="5911"/>
      </w:tblGrid>
      <w:tr>
        <w:trPr/>
        <w:tc>
          <w:tcPr>
            <w:tcW w:w="3734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1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 xml:space="preserve">Referenční velkoobchodní nabídka 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 xml:space="preserve">příloha č.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12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 xml:space="preserve"> –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Seznam použitých zkratek</w:t>
            </w:r>
          </w:p>
        </w:tc>
      </w:tr>
    </w:tbl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rPr>
          <w:rFonts w:ascii="Helvetica Neue" w:hAnsi="Helvetica Neue"/>
        </w:rPr>
      </w:pPr>
      <w:r>
        <w:rPr>
          <w:rFonts w:ascii="Helvetica Neue" w:hAnsi="Helvetica Neue"/>
        </w:rPr>
        <w:t>Seznam použitých zkratek v referen</w:t>
      </w:r>
      <w:r>
        <w:rPr>
          <w:rFonts w:eastAsia="Arial" w:cs="Arial" w:ascii="Helvetica Neue" w:hAnsi="Helvetica Neue"/>
          <w:color w:val="auto"/>
          <w:kern w:val="2"/>
          <w:sz w:val="32"/>
          <w:szCs w:val="32"/>
          <w:lang w:val="cs-CZ" w:eastAsia="zh-CN" w:bidi="hi-IN"/>
        </w:rPr>
        <w:t>ční velkoobchodní nabídce a jejích přílohách</w:t>
      </w:r>
    </w:p>
    <w:p>
      <w:pPr>
        <w:pStyle w:val="Tlotextu"/>
        <w:spacing w:before="2" w:after="0"/>
        <w:rPr>
          <w:rFonts w:ascii="Helvetica Neue" w:hAnsi="Helvetica Neue" w:cs="Arial"/>
          <w:sz w:val="24"/>
          <w:szCs w:val="24"/>
        </w:rPr>
      </w:pPr>
      <w:r>
        <w:rPr>
          <w:rFonts w:cs="Arial" w:ascii="Helvetica Neue" w:hAnsi="Helvetica Neue"/>
          <w:sz w:val="24"/>
          <w:szCs w:val="24"/>
        </w:rPr>
      </w:r>
    </w:p>
    <w:tbl>
      <w:tblPr>
        <w:tblW w:w="8955" w:type="dxa"/>
        <w:jc w:val="left"/>
        <w:tblInd w:w="3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50"/>
        <w:gridCol w:w="7304"/>
      </w:tblGrid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RUIAN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Registr adres, územní identifikace a nemovitostí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ZSJ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Základní sídelní jednotka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OLT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Optical line terminal – koncentrátor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 sítě GPON/XGS-PON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PoP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Point of presence – uzel s aktivn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technologií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CP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Concentration point - soust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řeďovací bod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DC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Datacentrum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DP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Distribu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tion point – distribuční bod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CO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 xml:space="preserve">Central office 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– aktivní bod Dotované sítě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BSP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Bitstream point – bod mo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žného předání služby bitstream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K</w:t>
            </w: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ÚP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Koncov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ý účastník Partnera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KZ</w:t>
            </w: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ÚP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Koncov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é zařízení účastníka Partnera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VULA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Virtual Unbundled Local Access – zp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řístupnění datového toku na lokální smyčce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WDM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Wavelength-division multiplexing – p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řenos v optickém vlákně s rozdělením do jednotlivých vlnových délek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IS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Informa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 systém využívaný fi. Sprintel pro správu operátorské agendy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Úřad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Český telekomunikační úřad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hd w:fill="auto" w:val="clear"/>
              </w:rPr>
              <w:t>II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Individ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ální investice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  <w:shd w:fill="auto" w:val="clear"/>
              </w:rPr>
              <w:t>ZEK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Z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ákon 127/2005sb. o elektronických komunikacích</w:t>
            </w:r>
          </w:p>
        </w:tc>
      </w:tr>
      <w:tr>
        <w:trPr/>
        <w:tc>
          <w:tcPr>
            <w:tcW w:w="1650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  <w:shd w:fill="auto" w:val="clear"/>
              </w:rPr>
              <w:t>GBER</w:t>
            </w:r>
          </w:p>
        </w:tc>
        <w:tc>
          <w:tcPr>
            <w:tcW w:w="7304" w:type="dxa"/>
            <w:tcBorders/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Obecné nařízení o blokových výjimkách</w:t>
            </w:r>
          </w:p>
        </w:tc>
      </w:tr>
    </w:tbl>
    <w:p>
      <w:pPr>
        <w:pStyle w:val="Tlotextu"/>
        <w:spacing w:before="2" w:after="0"/>
        <w:rPr>
          <w:rFonts w:ascii="Helvetica Neue" w:hAnsi="Helvetica Neue" w:cs="Arial"/>
          <w:sz w:val="36"/>
          <w:szCs w:val="36"/>
        </w:rPr>
      </w:pPr>
      <w:r>
        <w:rPr>
          <w:rFonts w:cs="Arial" w:ascii="Helvetica Neue" w:hAnsi="Helvetica Neue"/>
          <w:sz w:val="36"/>
          <w:szCs w:val="36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 w:eastAsia="Songti SC" w:cs="Arial"/>
          <w:color w:val="000000"/>
          <w:kern w:val="2"/>
          <w:sz w:val="24"/>
          <w:szCs w:val="24"/>
          <w:lang w:val="cs-CZ" w:eastAsia="zh-CN" w:bidi="hi-IN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</w:t>
          </w:r>
          <w:r>
            <w:rPr>
              <w:rFonts w:eastAsia="Songti SC" w:cs="Arial Unicode MS" w:ascii="Helvetica Neue" w:hAnsi="Helvetica Neue"/>
              <w:color w:val="auto"/>
              <w:kern w:val="2"/>
              <w:sz w:val="24"/>
              <w:szCs w:val="24"/>
              <w:lang w:val="cs-CZ" w:eastAsia="zh-CN" w:bidi="hi-IN"/>
            </w:rPr>
            <w:t>říloha č. 12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1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Zpat"/>
      <w:bidi w:val="0"/>
      <w:snapToGrid w:val="false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Zpat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Zpat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Zhlav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Zhlav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Zhlav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0" allowOverlap="1" relativeHeight="2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2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320675</wp:posOffset>
          </wp:positionH>
          <wp:positionV relativeFrom="paragraph">
            <wp:posOffset>784860</wp:posOffset>
          </wp:positionV>
          <wp:extent cx="5380355" cy="8315325"/>
          <wp:effectExtent l="0" t="0" r="0" b="0"/>
          <wp:wrapNone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bidi w:val="0"/>
      <w:jc w:val="left"/>
      <w:rPr/>
    </w:pPr>
    <w:r>
      <w:rPr/>
    </w:r>
  </w:p>
  <w:p>
    <w:pPr>
      <w:pStyle w:val="Zhlav"/>
      <w:bidi w:val="0"/>
      <w:jc w:val="left"/>
      <w:rPr/>
    </w:pPr>
    <w:r>
      <w:rPr/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4" name="Obrázek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Nadpis1">
    <w:name w:val="Heading 1"/>
    <w:basedOn w:val="Normal"/>
    <w:qFormat/>
    <w:pPr>
      <w:ind w:left="491" w:hanging="357"/>
      <w:outlineLvl w:val="0"/>
    </w:pPr>
    <w:rPr>
      <w:rFonts w:ascii="Arial" w:hAnsi="Arial" w:eastAsia="Arial" w:cs="Arial"/>
      <w:sz w:val="32"/>
      <w:szCs w:val="32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Zpat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Tlotex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636" w:hanging="0"/>
    </w:pPr>
    <w:rPr/>
  </w:style>
  <w:style w:type="paragraph" w:styleId="Bodydal">
    <w:name w:val="body - další"/>
    <w:basedOn w:val="ListParagraph"/>
    <w:qFormat/>
    <w:pPr>
      <w:widowControl/>
      <w:spacing w:lineRule="auto" w:line="276" w:before="0" w:after="120"/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296</TotalTime>
  <Application>LibreOffice/7.3.6.2$MacOSX_X86_64 LibreOffice_project/c28ca90fd6e1a19e189fc16c05f8f8924961e12e</Application>
  <AppVersion>15.0000</AppVersion>
  <Pages>1</Pages>
  <Words>171</Words>
  <Characters>1127</Characters>
  <CharactersWithSpaces>1259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2024-02-27T12:57:50Z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