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  <w:drawing>
          <wp:inline distT="0" distB="0" distL="0" distR="0">
            <wp:extent cx="4502150" cy="2015490"/>
            <wp:effectExtent l="0" t="0" r="0" b="0"/>
            <wp:docPr id="1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0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Obsahtabulky"/>
        <w:widowControl w:val="false"/>
        <w:bidi w:val="0"/>
        <w:ind w:left="216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left="216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left="216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left="216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  <w:t xml:space="preserve">Referenční velkoobchodní nabídka </w:t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36"/>
          <w:szCs w:val="36"/>
        </w:rPr>
        <w:t>přístupu na sítích VHCN budovaných s využitím dotačních programů</w:t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  <w:t>„</w:t>
      </w:r>
      <w:r>
        <w:rPr>
          <w:rFonts w:ascii="Helvetica Neue" w:hAnsi="Helvetica Neue"/>
          <w:sz w:val="40"/>
          <w:szCs w:val="40"/>
        </w:rPr>
        <w:t>Digitální vysokokapacitní sítě“</w:t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left="1440" w:hanging="0"/>
        <w:jc w:val="left"/>
        <w:rPr>
          <w:sz w:val="32"/>
          <w:szCs w:val="32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příloha č. 8</w:t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 w:eastAsia="Songti SC" w:cs="Arial Unicode MS"/>
          <w:color w:val="auto"/>
          <w:kern w:val="2"/>
          <w:lang w:val="cs-CZ" w:eastAsia="zh-CN" w:bidi="hi-IN"/>
        </w:rPr>
      </w:pPr>
      <w:r>
        <w:rPr>
          <w:rFonts w:eastAsia="Songti SC" w:cs="Arial Unicode MS" w:ascii="Helvetica Neue" w:hAnsi="Helvetica Neue"/>
          <w:color w:val="auto"/>
          <w:kern w:val="2"/>
          <w:lang w:val="cs-CZ" w:eastAsia="zh-CN" w:bidi="hi-IN"/>
        </w:rPr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40"/>
          <w:szCs w:val="40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Ceny a způsob jejich stanovení</w:t>
      </w:r>
    </w:p>
    <w:p>
      <w:pPr>
        <w:pStyle w:val="Obsahtabulky"/>
        <w:widowControl w:val="false"/>
        <w:bidi w:val="0"/>
        <w:ind w:left="216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  <w:r>
        <w:br w:type="page"/>
      </w:r>
    </w:p>
    <w:p>
      <w:pPr>
        <w:pStyle w:val="Nadpis1"/>
        <w:tabs>
          <w:tab w:val="clear" w:pos="720"/>
          <w:tab w:val="left" w:pos="403" w:leader="none"/>
        </w:tabs>
        <w:spacing w:before="89" w:after="0"/>
        <w:ind w:left="134" w:hanging="0"/>
        <w:jc w:val="center"/>
        <w:rPr>
          <w:rFonts w:ascii="Helvetica Neue" w:hAnsi="Helvetica Neue" w:eastAsia="Songti SC" w:cs="Arial"/>
          <w:color w:val="000000"/>
          <w:kern w:val="2"/>
          <w:sz w:val="24"/>
          <w:szCs w:val="24"/>
          <w:highlight w:val="none"/>
          <w:shd w:fill="FFFF00" w:val="clear"/>
          <w:lang w:val="cs-CZ" w:eastAsia="zh-CN" w:bidi="hi-IN"/>
        </w:rPr>
      </w:pPr>
      <w:r>
        <w:rPr>
          <w:rFonts w:eastAsia="Arial" w:cs="Arial" w:ascii="Helvetica Neue" w:hAnsi="Helvetica Neue"/>
          <w:color w:val="auto"/>
          <w:kern w:val="2"/>
          <w:sz w:val="32"/>
          <w:szCs w:val="32"/>
          <w:lang w:val="cs-CZ" w:eastAsia="zh-CN" w:bidi="hi-IN"/>
        </w:rPr>
        <w:t>Ceny a způsob jejich stanovení</w:t>
      </w:r>
    </w:p>
    <w:p>
      <w:pPr>
        <w:pStyle w:val="Tlotextu"/>
        <w:spacing w:before="2" w:after="0"/>
        <w:rPr>
          <w:rFonts w:ascii="Helvetica Neue" w:hAnsi="Helvetica Neue" w:cs="Arial"/>
          <w:sz w:val="16"/>
          <w:szCs w:val="16"/>
        </w:rPr>
      </w:pPr>
      <w:r>
        <w:rPr>
          <w:rFonts w:cs="Arial" w:ascii="Helvetica Neue" w:hAnsi="Helvetica Neue"/>
          <w:sz w:val="16"/>
          <w:szCs w:val="16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>–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 Obecné principy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12"/>
          <w:szCs w:val="12"/>
          <w:highlight w:val="none"/>
          <w:shd w:fill="auto" w:val="clear"/>
        </w:rPr>
      </w:pPr>
      <w:r>
        <w:rPr>
          <w:rFonts w:ascii="Helvetica Neue" w:hAnsi="Helvetica Neue"/>
          <w:sz w:val="12"/>
          <w:szCs w:val="12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 xml:space="preserve">Tvorba cen v tomto dokumentu se řídí Pokyny pro velkoobchodní nabídku (příloha č. 11) a ceny jsou stanoveny jako maximální. V případě sjednání nižších cen se bude Sprintel řídit principy v kapitole I. Přílohy 11 a bude přistupovat ke všem zájemcům o přístup nediskriminačně. Sprintel je oprávněn nabídku nebo její části pravidelně aktualizovat, v takovém případě bude aktualizované nabídka uveřejněna na webu </w:t>
      </w:r>
      <w:hyperlink r:id="rId3">
        <w:r>
          <w:rPr>
            <w:rStyle w:val="Internetovodkaz"/>
            <w:rFonts w:eastAsia="Songti SC" w:cs="Arial Unicode MS" w:ascii="Helvetica Neue" w:hAnsi="Helvetica Neue"/>
            <w:color w:val="000000"/>
            <w:kern w:val="2"/>
            <w:sz w:val="24"/>
            <w:szCs w:val="24"/>
            <w:shd w:fill="auto" w:val="clear"/>
            <w:lang w:val="cs-CZ" w:eastAsia="zh-CN" w:bidi="hi-IN"/>
          </w:rPr>
          <w:t>www.sprintel.cz</w:t>
        </w:r>
      </w:hyperlink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.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12"/>
          <w:szCs w:val="12"/>
          <w:highlight w:val="none"/>
          <w:shd w:fill="auto" w:val="clear"/>
        </w:rPr>
      </w:pPr>
      <w:r>
        <w:rPr>
          <w:rFonts w:ascii="Helvetica Neue" w:hAnsi="Helvetica Neue"/>
          <w:sz w:val="12"/>
          <w:szCs w:val="12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>–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 Ceny kolokačních služeb (dle přílohy 3a)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sz w:val="8"/>
          <w:szCs w:val="8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Velkoobchodní ceny za služby kolokace poskytované v rámci povinné velkoobchodní nabídky jsou stanoveny jako nákladově orientované. Nákladově orientované ceny mohou zahrnovat jen efektivně a účelně vynaložené náklady spojené s pořízením a provozováním prvků infrastruktury, vč. technologické plochy, a přiměřený zisk, který se odvíjí od aktuálně platně ČTÚ stanovené hodnoty WACC. Kalkulace ceny nesmí být zatěžována nákladovými položkami, které nejsou objektivně nezbytné k poskytování výše uvedených služeb. Velkoobchodní ceny za služby kolokace nezahrnují přijatou dotační podporu, ale pouze vlastní (tj. nedotované) náklady vynaložené fi. Sprintel.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sz w:val="8"/>
          <w:szCs w:val="8"/>
          <w:shd w:fill="auto" w:val="clear"/>
        </w:rPr>
      </w:r>
    </w:p>
    <w:tbl>
      <w:tblPr>
        <w:tblW w:w="8960" w:type="dxa"/>
        <w:jc w:val="left"/>
        <w:tblInd w:w="2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406"/>
        <w:gridCol w:w="2553"/>
      </w:tblGrid>
      <w:tr>
        <w:trPr/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EEEEE" w:val="clear"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Koloka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ční služby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/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Navrhovaná měsíční cena bez DPH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Port agrega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čního swithe do 1Gbit/s (EdgeCore, Zyxel)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400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Port agrega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čního swithe do 1Gbit/s (Huawei)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550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Port agrega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čního swithe 10Gbit/s (EdgeCore, Zyxel)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700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Port agrega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čního swithe 10Gbit/s (Huawei)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950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Port OLT 1Gbit/s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600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Port OLT 10Gbit/s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1000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Pozice v racku 1U, odb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ěr do 100W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1440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Pozice v racku 2U, odb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ěr do 100W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1800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Pozice v racku 3U, odb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ěr do 100W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2160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Pozice v racku 4U, odb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ěr do 100W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2520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Prostor pro splitter v nerackov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ém rozvaděči (typicky ODF)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150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auto"/>
                <w:kern w:val="2"/>
                <w:sz w:val="24"/>
                <w:szCs w:val="24"/>
                <w:lang w:val="cs-CZ" w:eastAsia="zh-CN" w:bidi="hi-IN"/>
              </w:rPr>
              <w:t>Úhrada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 xml:space="preserve"> el. energie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auto"/>
                <w:kern w:val="2"/>
                <w:sz w:val="24"/>
                <w:szCs w:val="24"/>
                <w:lang w:val="cs-CZ" w:eastAsia="zh-CN" w:bidi="hi-IN"/>
              </w:rPr>
              <w:t>dle štítku zařízení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Management port v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č. IP adresy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130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č za IP adresu</w:t>
            </w:r>
          </w:p>
          <w:p>
            <w:pPr>
              <w:pStyle w:val="Obsahtabulky"/>
              <w:widowControl w:val="false"/>
              <w:jc w:val="center"/>
              <w:rPr/>
            </w:pP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+ 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lus cena za port</w:t>
            </w:r>
          </w:p>
        </w:tc>
      </w:tr>
      <w:tr>
        <w:trPr/>
        <w:tc>
          <w:tcPr>
            <w:tcW w:w="64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Dal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ší IP adresy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130</w:t>
            </w:r>
            <w:r>
              <w:rPr>
                <w:rFonts w:ascii="Helvetica Neue" w:hAnsi="Helvetica Neue"/>
                <w:sz w:val="24"/>
                <w:szCs w:val="24"/>
              </w:rPr>
              <w:t xml:space="preserve"> K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</w:t>
            </w:r>
          </w:p>
        </w:tc>
      </w:tr>
    </w:tbl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highlight w:val="none"/>
          <w:shd w:fill="auto" w:val="clear"/>
        </w:rPr>
      </w:pPr>
      <w:r>
        <w:rPr>
          <w:rFonts w:ascii="Helvetica Neue" w:hAnsi="Helvetica Neue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V případě umisťování vlastního zařízení Partnera na ploše pronajaté Sprintel s.r.o., se stanoví cena jako podíl plochy zařízení Partnera na celkové využívané části pronajaté plochy násobený cenou pronajmu obvyklou v dané lokalitě a navýšenou o přiměřený zisk WACC a celkovou základní cenu služby 300 Kč/měs.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 w:eastAsia="Songti SC" w:cs="Arial Unicode MS"/>
          <w:color w:val="000000"/>
          <w:kern w:val="2"/>
          <w:sz w:val="16"/>
          <w:szCs w:val="16"/>
          <w:lang w:val="cs-CZ" w:eastAsia="zh-CN" w:bidi="hi-IN"/>
        </w:rPr>
      </w:pPr>
      <w:r>
        <w:rPr>
          <w:rFonts w:eastAsia="Songti SC" w:cs="Arial Unicode MS" w:ascii="Helvetica Neue" w:hAnsi="Helvetica Neue"/>
          <w:color w:val="000000"/>
          <w:kern w:val="2"/>
          <w:sz w:val="16"/>
          <w:szCs w:val="16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shd w:fill="auto" w:val="clear"/>
          <w:lang w:val="cs-CZ" w:eastAsia="zh-CN" w:bidi="hi-IN"/>
        </w:rPr>
        <w:t>Požadavky na kolokační služby výše neuvedené, bude-li možné jim vyhovět, budou oceněny individuální kalkulací v souladu s Pokyny pro velkoobchodní nabídku (příloha č. 11.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Článek III.</w:t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sz w:val="28"/>
          <w:szCs w:val="28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Ceny za zpřístupnění účastnického vedení (dle přílohy 3d) a jeho části,</w:t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sz w:val="28"/>
          <w:szCs w:val="28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za přístup k pasivní síti (del přílohy 3b)</w:t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sz w:val="28"/>
          <w:szCs w:val="28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a za přístup k vlnové délce (dle přílohy 3c)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20"/>
          <w:szCs w:val="20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0"/>
          <w:szCs w:val="20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/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Velkoobchodní ceny za služby přístupu k pasivní infrastruktuře a za služby zpřístupnění optického a kovového vedení poskytované v rámci povinné velkoobchodní nabídky jsou nákladově orientované. Nákladově orientovaných ceny mohou zahrnovat jen efektivně a účelně vynaložené náklady spojené s pořízením a provozováním prvků infrastruktury a přiměřený zisk, který se odvíjí od aktuálně platně ČTÚ stanovené hodnoty WACC. Kalkulace ceny nesmí být zatěžována nákladovými položkami, které nejsou objektivně nezbytné k poskytování výše uvedených služeb.</w:t>
      </w:r>
    </w:p>
    <w:p>
      <w:pPr>
        <w:pStyle w:val="Tlotextu"/>
        <w:spacing w:lineRule="auto" w:line="290" w:before="1" w:after="0"/>
        <w:ind w:left="136" w:right="135" w:hanging="0"/>
        <w:jc w:val="both"/>
        <w:rPr/>
      </w:pPr>
      <w:r>
        <w:rPr/>
      </w:r>
    </w:p>
    <w:p>
      <w:pPr>
        <w:pStyle w:val="Tlotextu"/>
        <w:spacing w:lineRule="auto" w:line="290" w:before="1" w:after="0"/>
        <w:ind w:left="136" w:right="135" w:hanging="0"/>
        <w:jc w:val="both"/>
        <w:rPr/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Velkoobchodní ceny za služby přístupu k pasivní infrastruktuře nezahrnují přijatou dotační podporu, ale pouze vlastní (tj. nedotované) náklady vynaložené příjemcem dotace. Velkoobchodní měsíční cena zahrnuje odpisy používaného dlouhodobého majetku a běžné náklady na udržování sítě a zajištění jejího provozu. Roční odpisy jsou stanoveny procentem podle minimální doby životnosti daného aktiva. Odpisy jsou oproštěny o část vytvořenou dotační podporou.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</w:r>
    </w:p>
    <w:tbl>
      <w:tblPr>
        <w:tblW w:w="6406" w:type="dxa"/>
        <w:jc w:val="left"/>
        <w:tblInd w:w="43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47"/>
        <w:gridCol w:w="1958"/>
      </w:tblGrid>
      <w:tr>
        <w:trPr/>
        <w:tc>
          <w:tcPr>
            <w:tcW w:w="444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Aktivum</w:t>
            </w:r>
          </w:p>
        </w:tc>
        <w:tc>
          <w:tcPr>
            <w:tcW w:w="1958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Životnost (roky)</w:t>
            </w:r>
          </w:p>
        </w:tc>
      </w:tr>
      <w:tr>
        <w:trPr/>
        <w:tc>
          <w:tcPr>
            <w:tcW w:w="444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Kabelovody, v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ýkopy a chráničky</w:t>
            </w:r>
          </w:p>
        </w:tc>
        <w:tc>
          <w:tcPr>
            <w:tcW w:w="1958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40</w:t>
            </w:r>
          </w:p>
        </w:tc>
      </w:tr>
      <w:tr>
        <w:trPr/>
        <w:tc>
          <w:tcPr>
            <w:tcW w:w="444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Kabely</w:t>
            </w:r>
          </w:p>
        </w:tc>
        <w:tc>
          <w:tcPr>
            <w:tcW w:w="1958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23</w:t>
            </w:r>
          </w:p>
        </w:tc>
      </w:tr>
      <w:tr>
        <w:trPr/>
        <w:tc>
          <w:tcPr>
            <w:tcW w:w="444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Rozvad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ěče a distribuční skříně</w:t>
            </w:r>
          </w:p>
        </w:tc>
        <w:tc>
          <w:tcPr>
            <w:tcW w:w="1958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20</w:t>
            </w:r>
          </w:p>
        </w:tc>
      </w:tr>
      <w:tr>
        <w:trPr/>
        <w:tc>
          <w:tcPr>
            <w:tcW w:w="444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Sto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žáry a věže</w:t>
            </w:r>
          </w:p>
        </w:tc>
        <w:tc>
          <w:tcPr>
            <w:tcW w:w="1958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15</w:t>
            </w:r>
          </w:p>
        </w:tc>
      </w:tr>
    </w:tbl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highlight w:val="none"/>
          <w:shd w:fill="auto" w:val="clear"/>
        </w:rPr>
      </w:pPr>
      <w:r>
        <w:rPr>
          <w:shd w:fill="auto" w:val="clear"/>
        </w:rPr>
      </w:r>
      <w:r>
        <w:br w:type="page"/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Výše uvedeným způsobem byly ceny stanoveny následovně: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3"/>
        <w:gridCol w:w="2834"/>
      </w:tblGrid>
      <w:tr>
        <w:trPr/>
        <w:tc>
          <w:tcPr>
            <w:tcW w:w="6803" w:type="dxa"/>
            <w:tcBorders/>
            <w:shd w:fill="EEEEEE" w:val="clear"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N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árodní intervenční o</w:t>
            </w: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 xml:space="preserve">blast 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č. 13</w:t>
            </w:r>
          </w:p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6"/>
                <w:szCs w:val="26"/>
                <w:lang w:val="cs-CZ" w:eastAsia="zh-CN" w:bidi="hi-IN"/>
              </w:rPr>
              <w:t>projekt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 xml:space="preserve"> </w:t>
            </w:r>
            <w:r>
              <w:rPr>
                <w:rFonts w:eastAsia="Songti SC" w:cs="Arial Unicode MS" w:ascii="Helvetica Neue" w:hAnsi="Helvetica Neue"/>
                <w:b w:val="false"/>
                <w:bCs/>
                <w:i w:val="false"/>
                <w:caps w:val="false"/>
                <w:smallCaps w:val="false"/>
                <w:color w:val="auto"/>
                <w:spacing w:val="0"/>
                <w:kern w:val="2"/>
                <w:sz w:val="26"/>
                <w:szCs w:val="26"/>
                <w:lang w:val="cs-CZ" w:eastAsia="zh-CN" w:bidi="hi-IN"/>
              </w:rPr>
              <w:t>CZ.31.1.0/0.0/0.0/22_011/0004147</w:t>
            </w:r>
          </w:p>
        </w:tc>
        <w:tc>
          <w:tcPr>
            <w:tcW w:w="2834" w:type="dxa"/>
            <w:tcBorders/>
            <w:shd w:fill="EEEEEE" w:val="clear"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Cena bez DPH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Účastnické vedení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color w:val="000000"/>
                <w:kern w:val="2"/>
                <w:sz w:val="26"/>
                <w:szCs w:val="26"/>
                <w:shd w:fill="auto" w:val="clear"/>
                <w:lang w:val="cs-CZ" w:eastAsia="zh-CN" w:bidi="hi-IN"/>
              </w:rPr>
              <w:t>243 Kč + 1,72 Kč/m délky vlákna mezi CP a CO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Koncový úsek účastnického vedení do CP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6"/>
                <w:szCs w:val="26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6"/>
                <w:szCs w:val="26"/>
                <w:shd w:fill="auto" w:val="clear"/>
              </w:rPr>
              <w:t>243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6"/>
                <w:szCs w:val="26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Koncový úsek účastnického vedení v místě KÚP</w:t>
            </w:r>
          </w:p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sz w:val="22"/>
                <w:szCs w:val="22"/>
              </w:rPr>
            </w:pPr>
            <w:r>
              <w:rPr>
                <w:rFonts w:ascii="Helvetica Neue" w:hAnsi="Helvetica Neue"/>
                <w:sz w:val="22"/>
                <w:szCs w:val="22"/>
              </w:rPr>
              <w:t>v p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2"/>
                <w:szCs w:val="22"/>
                <w:lang w:val="cs-CZ" w:eastAsia="zh-CN" w:bidi="hi-IN"/>
              </w:rPr>
              <w:t>řípadě adresních míst s více byty při připojení více než jednoho KÚP v budově. Optický i metalický.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6"/>
                <w:szCs w:val="26"/>
                <w:shd w:fill="auto" w:val="clear"/>
              </w:rPr>
              <w:t>25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6"/>
                <w:szCs w:val="26"/>
                <w:shd w:fill="auto" w:val="clear"/>
                <w:lang w:val="cs-CZ" w:eastAsia="zh-CN" w:bidi="hi-IN"/>
              </w:rPr>
              <w:t>č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Nenasv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6"/>
                <w:szCs w:val="26"/>
                <w:lang w:val="cs-CZ" w:eastAsia="zh-CN" w:bidi="hi-IN"/>
              </w:rPr>
              <w:t>ícené optické vlákno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6"/>
                <w:szCs w:val="26"/>
                <w:shd w:fill="auto" w:val="clear"/>
              </w:rPr>
              <w:t>1,72 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6"/>
                <w:szCs w:val="26"/>
                <w:shd w:fill="auto" w:val="clear"/>
                <w:lang w:val="cs-CZ" w:eastAsia="zh-CN" w:bidi="hi-IN"/>
              </w:rPr>
              <w:t>č/m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Prostor v kabelové komoře</w:t>
            </w:r>
            <w:r>
              <w:rPr>
                <w:rFonts w:ascii="Helvetica Neue" w:hAnsi="Helvetica Neue"/>
                <w:b w:val="false"/>
                <w:bCs w:val="false"/>
                <w:sz w:val="22"/>
                <w:szCs w:val="22"/>
              </w:rPr>
              <w:t xml:space="preserve"> pro um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2"/>
                <w:szCs w:val="22"/>
                <w:lang w:val="cs-CZ" w:eastAsia="zh-CN" w:bidi="hi-IN"/>
              </w:rPr>
              <w:t>ístění optické spojky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Individu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ální kalkulace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Kabelový rošt v podzemním kolektoru/kabelovodu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Nen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í součástí projektu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Otvor v kabelovodu po umístění trubky/mikrotrubičky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Nen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í součástí projektu</w:t>
            </w:r>
          </w:p>
        </w:tc>
      </w:tr>
      <w:tr>
        <w:trPr/>
        <w:tc>
          <w:tcPr>
            <w:tcW w:w="6803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b/>
                <w:b/>
                <w:bCs/>
                <w:sz w:val="26"/>
                <w:szCs w:val="26"/>
              </w:rPr>
            </w:pPr>
            <w:r>
              <w:rPr>
                <w:rFonts w:ascii="Helvetica Neue" w:hAnsi="Helvetica Neue"/>
                <w:b/>
                <w:bCs/>
                <w:sz w:val="26"/>
                <w:szCs w:val="26"/>
              </w:rPr>
              <w:t>Prostor na stožáru nebo věži</w:t>
            </w:r>
          </w:p>
        </w:tc>
        <w:tc>
          <w:tcPr>
            <w:tcW w:w="2834" w:type="dxa"/>
            <w:tcBorders/>
          </w:tcPr>
          <w:p>
            <w:pPr>
              <w:pStyle w:val="Obsahtabulky"/>
              <w:widowControl w:val="false"/>
              <w:spacing w:before="57" w:after="57"/>
              <w:rPr>
                <w:rFonts w:ascii="Helvetica Neue" w:hAnsi="Helvetica Neue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hd w:fill="auto" w:val="clear"/>
              </w:rPr>
              <w:t>Nen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í součástí projektu</w:t>
            </w:r>
          </w:p>
        </w:tc>
      </w:tr>
    </w:tbl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20"/>
          <w:szCs w:val="20"/>
          <w:highlight w:val="none"/>
          <w:shd w:fill="auto" w:val="clear"/>
        </w:rPr>
      </w:pPr>
      <w:r>
        <w:rPr>
          <w:rFonts w:ascii="Helvetica Neue" w:hAnsi="Helvetica Neue"/>
          <w:sz w:val="20"/>
          <w:szCs w:val="20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b w:val="false"/>
          <w:b w:val="false"/>
          <w:bCs w:val="false"/>
          <w:sz w:val="20"/>
          <w:szCs w:val="20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Mezi cenami vlákna a účastnického vedení platí vztah C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vertAlign w:val="subscript"/>
          <w:lang w:val="cs-CZ" w:eastAsia="zh-CN" w:bidi="hi-IN"/>
        </w:rPr>
        <w:t>uv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=C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vertAlign w:val="subscript"/>
          <w:lang w:val="cs-CZ" w:eastAsia="zh-CN" w:bidi="hi-IN"/>
        </w:rPr>
        <w:t>vl</w:t>
      </w:r>
      <w:r>
        <w:rPr>
          <w:rFonts w:eastAsia="Wingdings 2" w:cs="Wingdings 2" w:ascii="Wingdings 2" w:hAnsi="Wingdings 2"/>
          <w:b w:val="false"/>
          <w:bCs w:val="false"/>
          <w:color w:val="000000"/>
          <w:kern w:val="2"/>
          <w:position w:val="0"/>
          <w:sz w:val="24"/>
          <w:sz w:val="24"/>
          <w:szCs w:val="24"/>
          <w:shd w:fill="auto" w:val="clear"/>
          <w:vertAlign w:val="baseline"/>
          <w:lang w:val="cs-CZ" w:eastAsia="zh-CN" w:bidi="hi-IN"/>
        </w:rPr>
        <w:t>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D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vertAlign w:val="subscript"/>
          <w:lang w:val="cs-CZ" w:eastAsia="zh-CN" w:bidi="hi-IN"/>
        </w:rPr>
        <w:t>vlp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, kdy C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vertAlign w:val="subscript"/>
          <w:lang w:val="cs-CZ" w:eastAsia="zh-CN" w:bidi="hi-IN"/>
        </w:rPr>
        <w:t>uv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 xml:space="preserve"> je cena za pronájem účastnického vedení,   C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vertAlign w:val="subscript"/>
          <w:lang w:val="cs-CZ" w:eastAsia="zh-CN" w:bidi="hi-IN"/>
        </w:rPr>
        <w:t>vl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 xml:space="preserve"> je cena za pronájem 1m vlákna a  D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vertAlign w:val="subscript"/>
          <w:lang w:val="cs-CZ" w:eastAsia="zh-CN" w:bidi="hi-IN"/>
        </w:rPr>
        <w:t>vlp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 xml:space="preserve"> je průměrná délka vlákna účastnického vedení.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eastAsia="Songti SC" w:cs="Arial Unicode MS"/>
          <w:color w:val="000000"/>
          <w:kern w:val="2"/>
          <w:sz w:val="16"/>
          <w:szCs w:val="16"/>
          <w:lang w:val="cs-CZ" w:eastAsia="zh-CN" w:bidi="hi-IN"/>
        </w:rPr>
      </w:pPr>
      <w:r>
        <w:rPr>
          <w:rFonts w:eastAsia="Songti SC" w:cs="Arial Unicode MS"/>
          <w:color w:val="000000"/>
          <w:kern w:val="2"/>
          <w:sz w:val="16"/>
          <w:szCs w:val="16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b w:val="false"/>
          <w:b w:val="false"/>
          <w:bCs w:val="false"/>
          <w:sz w:val="20"/>
          <w:szCs w:val="20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Rezervní chráničky a mikrotrubičky jsou instalovány za účelem řešení záložní trasy, vynucených překládek a jako rezerva pro budoucí rozšíření sítě. Jednání o možném přístupu k rezervním chráničkám je možné po úplném vyčerpání kapacity mikrotrubiček v předmětném úseku. Jednání o možném přístupu k rezervním mikrotrubičkám je možné po úplném vyčerpání kapacity nenasvícených vláken v předmětném úseku. Cena bude v takovém případě stanovená individuální kalkulací v souladu s Pokyny pro velkoobchodní nabídku (příloha 11). Síť je navržena při velkoobchodní zpřístupnění na úrovni optických vláken k čemuž má dostatečnou kapacitní rezervu.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/>
      </w:r>
      <w:r>
        <w:br w:type="page"/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b w:val="false"/>
          <w:b w:val="false"/>
          <w:bCs w:val="false"/>
          <w:sz w:val="12"/>
          <w:szCs w:val="12"/>
        </w:rPr>
      </w:pPr>
      <w:r>
        <w:rPr>
          <w:b w:val="false"/>
          <w:bCs w:val="false"/>
          <w:sz w:val="12"/>
          <w:szCs w:val="12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IV.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>–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 Ceny služby VULA (dle přílohy 3e)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2"/>
          <w:szCs w:val="12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2"/>
          <w:szCs w:val="12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sz w:val="24"/>
          <w:szCs w:val="24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 xml:space="preserve">Jelikož je Sprintel vertikálně integrovaným operátorem, stanovuje v souladu s Pokyny pro vypracování velkoobchodní nabídky (příloha č. 11) maximální cenu za služba VULA metodou </w:t>
      </w:r>
      <w:r>
        <w:rPr>
          <w:rFonts w:eastAsia="Songti SC" w:cs="Arial Unicode MS" w:ascii="Helvetica Neue" w:hAnsi="Helvetica Neue"/>
          <w:b w:val="false"/>
          <w:bCs w:val="false"/>
          <w:i/>
          <w:iCs/>
          <w:color w:val="000000"/>
          <w:kern w:val="2"/>
          <w:sz w:val="24"/>
          <w:szCs w:val="24"/>
          <w:shd w:fill="auto" w:val="clear"/>
          <w:lang w:val="cs-CZ" w:eastAsia="zh-CN" w:bidi="hi-IN"/>
        </w:rPr>
        <w:t>„retail minus“</w:t>
      </w:r>
      <w:r>
        <w:rPr>
          <w:rFonts w:ascii="Helvetica Neue" w:hAnsi="Helvetica Neue"/>
          <w:sz w:val="24"/>
          <w:szCs w:val="24"/>
        </w:rPr>
        <w:t xml:space="preserve">, přičemž velikost marže stanoví ŘO v součinnosti s ČTÚ. Metoda </w:t>
      </w:r>
      <w:r>
        <w:rPr>
          <w:rFonts w:ascii="Helvetica Neue" w:hAnsi="Helvetica Neue"/>
          <w:i/>
          <w:iCs/>
          <w:sz w:val="24"/>
          <w:szCs w:val="24"/>
        </w:rPr>
        <w:t>„retail minus“</w:t>
      </w:r>
      <w:r>
        <w:rPr>
          <w:rFonts w:ascii="Helvetica Neue" w:hAnsi="Helvetica Neue"/>
          <w:sz w:val="24"/>
          <w:szCs w:val="24"/>
        </w:rPr>
        <w:t xml:space="preserve"> se aplikuje na základní (nejlevnější) maloobchodní produkt přístupu k síti Internet. 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sz w:val="16"/>
          <w:szCs w:val="16"/>
        </w:rPr>
      </w:pPr>
      <w:r>
        <w:rPr>
          <w:rFonts w:ascii="Helvetica Neue" w:hAnsi="Helvetica Neue"/>
          <w:sz w:val="16"/>
          <w:szCs w:val="16"/>
        </w:rPr>
      </w:r>
    </w:p>
    <w:p>
      <w:pPr>
        <w:pStyle w:val="Normal"/>
        <w:spacing w:lineRule="auto" w:line="290" w:before="1" w:after="0"/>
        <w:ind w:left="136" w:right="135" w:hanging="0"/>
        <w:jc w:val="left"/>
        <w:rPr>
          <w:rFonts w:ascii="Helvetica Neue" w:hAnsi="Helvetica Neue"/>
          <w:sz w:val="24"/>
          <w:szCs w:val="24"/>
        </w:rPr>
      </w:pPr>
      <w:r>
        <w:rPr>
          <w:rFonts w:ascii="Helvetica Neue" w:hAnsi="Helvetica Neue"/>
          <w:strike w:val="false"/>
          <w:dstrike w:val="false"/>
          <w:sz w:val="24"/>
          <w:szCs w:val="24"/>
          <w:u w:val="none"/>
        </w:rPr>
        <w:t xml:space="preserve">Cena velkoobchodní služby VULA se stanoví podle vzorce: </w:t>
      </w:r>
    </w:p>
    <w:p>
      <w:pPr>
        <w:pStyle w:val="Normal"/>
        <w:spacing w:lineRule="auto" w:line="290" w:before="1" w:after="0"/>
        <w:ind w:left="136" w:right="135" w:hanging="0"/>
        <w:jc w:val="left"/>
        <w:rPr>
          <w:strike w:val="false"/>
          <w:dstrike w:val="false"/>
          <w:u w:val="none"/>
        </w:rPr>
      </w:pPr>
      <w:r>
        <w:rPr>
          <w:strike w:val="false"/>
          <w:dstrike w:val="false"/>
          <w:u w:val="none"/>
        </w:rPr>
      </w:r>
    </w:p>
    <w:p>
      <w:pPr>
        <w:pStyle w:val="Normal"/>
        <w:spacing w:lineRule="auto" w:line="290" w:before="1" w:after="0"/>
        <w:ind w:left="136" w:right="135" w:hanging="0"/>
        <w:jc w:val="left"/>
        <w:rPr>
          <w:rFonts w:ascii="Helvetica Neue" w:hAnsi="Helvetica Neue"/>
          <w:sz w:val="24"/>
          <w:szCs w:val="24"/>
        </w:rPr>
      </w:pPr>
      <w:r>
        <w:drawing>
          <wp:anchor behindDoc="0" distT="0" distB="0" distL="0" distR="0" simplePos="0" locked="0" layoutInCell="0" allowOverlap="1" relativeHeight="1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8045" cy="1614170"/>
            <wp:effectExtent l="0" t="0" r="0" b="0"/>
            <wp:wrapSquare wrapText="largest"/>
            <wp:docPr id="2" name="Obrázek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1614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elvetica Neue" w:hAnsi="Helvetica Neue"/>
          <w:strike w:val="false"/>
          <w:dstrike w:val="false"/>
          <w:sz w:val="24"/>
          <w:szCs w:val="24"/>
          <w:u w:val="none"/>
        </w:rPr>
        <w:t>P</w:t>
      </w:r>
      <w:r>
        <w:rPr>
          <w:rFonts w:eastAsia="Songti SC" w:cs="Arial Unicode MS" w:ascii="Helvetica Neue" w:hAnsi="Helvetica Neue"/>
          <w:strike w:val="false"/>
          <w:dstrike w:val="false"/>
          <w:color w:val="auto"/>
          <w:kern w:val="2"/>
          <w:sz w:val="24"/>
          <w:szCs w:val="24"/>
          <w:u w:val="none"/>
          <w:lang w:val="cs-CZ" w:eastAsia="zh-CN" w:bidi="hi-IN"/>
        </w:rPr>
        <w:t xml:space="preserve">ři stanovení ceny se vždy vyjde z aktuální platné nabídky na adrese </w:t>
      </w:r>
      <w:hyperlink r:id="rId5">
        <w:r>
          <w:rPr>
            <w:rStyle w:val="Internetovodkaz"/>
            <w:rFonts w:eastAsia="Songti SC" w:cs="Arial Unicode MS" w:ascii="Helvetica Neue" w:hAnsi="Helvetica Neue"/>
            <w:strike w:val="false"/>
            <w:dstrike w:val="false"/>
            <w:color w:val="auto"/>
            <w:kern w:val="2"/>
            <w:sz w:val="24"/>
            <w:szCs w:val="24"/>
            <w:u w:val="none"/>
            <w:lang w:val="cs-CZ" w:eastAsia="zh-CN" w:bidi="hi-IN"/>
          </w:rPr>
          <w:t>http://www.sprintel.cz/sprintel-cz/internet/opticke-pripojeni/tarify-pro-jednotlivce/</w:t>
        </w:r>
      </w:hyperlink>
      <w:r>
        <w:rPr>
          <w:rFonts w:eastAsia="Songti SC" w:cs="Arial Unicode MS" w:ascii="Helvetica Neue" w:hAnsi="Helvetica Neue"/>
          <w:strike w:val="false"/>
          <w:dstrike w:val="false"/>
          <w:color w:val="auto"/>
          <w:kern w:val="2"/>
          <w:sz w:val="24"/>
          <w:szCs w:val="24"/>
          <w:u w:val="none"/>
          <w:lang w:val="cs-CZ" w:eastAsia="zh-CN" w:bidi="hi-IN"/>
        </w:rPr>
        <w:t>.</w:t>
      </w:r>
    </w:p>
    <w:p>
      <w:pPr>
        <w:pStyle w:val="Normal"/>
        <w:spacing w:lineRule="auto" w:line="290" w:before="1" w:after="0"/>
        <w:ind w:left="136" w:right="135" w:hanging="0"/>
        <w:jc w:val="left"/>
        <w:rPr>
          <w:rFonts w:ascii="Helvetica Neue" w:hAnsi="Helvetica Neue"/>
          <w:sz w:val="24"/>
          <w:szCs w:val="24"/>
        </w:rPr>
      </w:pPr>
      <w:r>
        <w:rPr>
          <w:rFonts w:eastAsia="Songti SC" w:cs="Arial Unicode MS" w:ascii="Helvetica Neue" w:hAnsi="Helvetica Neue"/>
          <w:strike w:val="false"/>
          <w:dstrike w:val="false"/>
          <w:color w:val="auto"/>
          <w:kern w:val="2"/>
          <w:sz w:val="24"/>
          <w:szCs w:val="24"/>
          <w:u w:val="none"/>
          <w:lang w:val="cs-CZ" w:eastAsia="zh-CN" w:bidi="hi-IN"/>
        </w:rPr>
        <w:t>Ta v době zveřejnění této VO nabídky (nabídka platná od 1.1.2023) je:</w:t>
      </w:r>
    </w:p>
    <w:p>
      <w:pPr>
        <w:pStyle w:val="Normal"/>
        <w:spacing w:lineRule="auto" w:line="290" w:before="1" w:after="0"/>
        <w:ind w:left="136" w:right="135" w:hanging="0"/>
        <w:jc w:val="left"/>
        <w:rPr>
          <w:rFonts w:eastAsia="Songti SC" w:cs="Arial Unicode MS"/>
          <w:strike w:val="false"/>
          <w:dstrike w:val="false"/>
          <w:color w:val="auto"/>
          <w:kern w:val="2"/>
          <w:sz w:val="12"/>
          <w:szCs w:val="12"/>
          <w:u w:val="none"/>
          <w:lang w:val="cs-CZ" w:eastAsia="zh-CN" w:bidi="hi-IN"/>
        </w:rPr>
      </w:pPr>
      <w:r>
        <w:rPr>
          <w:rFonts w:eastAsia="Songti SC" w:cs="Arial Unicode MS"/>
          <w:strike w:val="false"/>
          <w:dstrike w:val="false"/>
          <w:color w:val="auto"/>
          <w:kern w:val="2"/>
          <w:sz w:val="12"/>
          <w:szCs w:val="12"/>
          <w:u w:val="none"/>
          <w:lang w:val="cs-CZ" w:eastAsia="zh-CN" w:bidi="hi-IN"/>
        </w:rPr>
      </w:r>
    </w:p>
    <w:tbl>
      <w:tblPr>
        <w:tblW w:w="9013" w:type="dxa"/>
        <w:jc w:val="left"/>
        <w:tblInd w:w="2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171"/>
        <w:gridCol w:w="2407"/>
        <w:gridCol w:w="2409"/>
        <w:gridCol w:w="2025"/>
      </w:tblGrid>
      <w:tr>
        <w:trPr/>
        <w:tc>
          <w:tcPr>
            <w:tcW w:w="2171" w:type="dxa"/>
            <w:vMerge w:val="restart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Tarif</w:t>
            </w:r>
          </w:p>
        </w:tc>
        <w:tc>
          <w:tcPr>
            <w:tcW w:w="2407" w:type="dxa"/>
            <w:vMerge w:val="restart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Cena m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ěsíční</w:t>
            </w:r>
          </w:p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(vč. DPH)</w:t>
            </w:r>
          </w:p>
        </w:tc>
        <w:tc>
          <w:tcPr>
            <w:tcW w:w="4434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Maxim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 xml:space="preserve">ální </w:t>
            </w:r>
            <w:r>
              <w:rPr>
                <w:rFonts w:ascii="Helvetica Neue" w:hAnsi="Helvetica Neue"/>
                <w:b/>
                <w:bCs/>
              </w:rPr>
              <w:t>rychlost</w:t>
            </w:r>
          </w:p>
        </w:tc>
      </w:tr>
      <w:tr>
        <w:trPr/>
        <w:tc>
          <w:tcPr>
            <w:tcW w:w="2171" w:type="dxa"/>
            <w:vMerge w:val="continue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</w:r>
          </w:p>
        </w:tc>
        <w:tc>
          <w:tcPr>
            <w:tcW w:w="2407" w:type="dxa"/>
            <w:vMerge w:val="continue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</w:r>
          </w:p>
        </w:tc>
        <w:tc>
          <w:tcPr>
            <w:tcW w:w="2409" w:type="dxa"/>
            <w:tcBorders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Download</w:t>
            </w:r>
          </w:p>
        </w:tc>
        <w:tc>
          <w:tcPr>
            <w:tcW w:w="2025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Upload</w:t>
            </w:r>
          </w:p>
        </w:tc>
      </w:tr>
      <w:tr>
        <w:trPr/>
        <w:tc>
          <w:tcPr>
            <w:tcW w:w="2171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Optik 160</w:t>
            </w:r>
          </w:p>
        </w:tc>
        <w:tc>
          <w:tcPr>
            <w:tcW w:w="240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420 K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4"/>
                <w:szCs w:val="24"/>
                <w:lang w:val="cs-CZ" w:eastAsia="zh-CN" w:bidi="hi-IN"/>
              </w:rPr>
              <w:t>č</w:t>
            </w:r>
          </w:p>
        </w:tc>
        <w:tc>
          <w:tcPr>
            <w:tcW w:w="240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160 Mbit/s</w:t>
            </w:r>
          </w:p>
        </w:tc>
        <w:tc>
          <w:tcPr>
            <w:tcW w:w="2025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160 Mbit/s</w:t>
            </w:r>
          </w:p>
        </w:tc>
      </w:tr>
      <w:tr>
        <w:trPr/>
        <w:tc>
          <w:tcPr>
            <w:tcW w:w="2171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Optik 300</w:t>
            </w:r>
          </w:p>
        </w:tc>
        <w:tc>
          <w:tcPr>
            <w:tcW w:w="240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490 K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4"/>
                <w:szCs w:val="24"/>
                <w:lang w:val="cs-CZ" w:eastAsia="zh-CN" w:bidi="hi-IN"/>
              </w:rPr>
              <w:t>č</w:t>
            </w:r>
          </w:p>
        </w:tc>
        <w:tc>
          <w:tcPr>
            <w:tcW w:w="240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300 Mbit/s</w:t>
            </w:r>
          </w:p>
        </w:tc>
        <w:tc>
          <w:tcPr>
            <w:tcW w:w="2025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300 Mbit/s</w:t>
            </w:r>
          </w:p>
        </w:tc>
      </w:tr>
      <w:tr>
        <w:trPr/>
        <w:tc>
          <w:tcPr>
            <w:tcW w:w="2171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Optik 500</w:t>
            </w:r>
          </w:p>
        </w:tc>
        <w:tc>
          <w:tcPr>
            <w:tcW w:w="240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550 K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4"/>
                <w:szCs w:val="24"/>
                <w:lang w:val="cs-CZ" w:eastAsia="zh-CN" w:bidi="hi-IN"/>
              </w:rPr>
              <w:t>č</w:t>
            </w:r>
          </w:p>
        </w:tc>
        <w:tc>
          <w:tcPr>
            <w:tcW w:w="240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500 Mbit/s</w:t>
            </w:r>
          </w:p>
        </w:tc>
        <w:tc>
          <w:tcPr>
            <w:tcW w:w="2025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300 Mbit/s</w:t>
            </w:r>
          </w:p>
        </w:tc>
      </w:tr>
      <w:tr>
        <w:trPr/>
        <w:tc>
          <w:tcPr>
            <w:tcW w:w="2171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Optik 1G</w:t>
            </w:r>
          </w:p>
        </w:tc>
        <w:tc>
          <w:tcPr>
            <w:tcW w:w="2407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690 K</w:t>
            </w:r>
            <w:r>
              <w:rPr>
                <w:rFonts w:eastAsia="Songti SC" w:cs="Arial Unicode MS" w:ascii="Helvetica Neue" w:hAnsi="Helvetica Neue"/>
                <w:b w:val="false"/>
                <w:bCs w:val="false"/>
                <w:color w:val="auto"/>
                <w:kern w:val="2"/>
                <w:sz w:val="24"/>
                <w:szCs w:val="24"/>
                <w:lang w:val="cs-CZ" w:eastAsia="zh-CN" w:bidi="hi-IN"/>
              </w:rPr>
              <w:t>č</w:t>
            </w:r>
          </w:p>
        </w:tc>
        <w:tc>
          <w:tcPr>
            <w:tcW w:w="240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1000 Mbit/s</w:t>
            </w:r>
          </w:p>
        </w:tc>
        <w:tc>
          <w:tcPr>
            <w:tcW w:w="2025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b w:val="false"/>
                <w:b w:val="false"/>
                <w:bCs w:val="false"/>
              </w:rPr>
            </w:pPr>
            <w:r>
              <w:rPr>
                <w:rFonts w:ascii="Helvetica Neue" w:hAnsi="Helvetica Neue"/>
                <w:b w:val="false"/>
                <w:bCs w:val="false"/>
              </w:rPr>
              <w:t>300 Mbit/s</w:t>
            </w:r>
          </w:p>
        </w:tc>
      </w:tr>
    </w:tbl>
    <w:p>
      <w:pPr>
        <w:pStyle w:val="Normal"/>
        <w:spacing w:lineRule="auto" w:line="290" w:before="1" w:after="0"/>
        <w:ind w:right="135" w:hanging="0"/>
        <w:jc w:val="left"/>
        <w:rPr>
          <w:rFonts w:ascii="Helvetica Neue" w:hAnsi="Helvetica Neue"/>
          <w:sz w:val="24"/>
          <w:szCs w:val="24"/>
        </w:rPr>
      </w:pPr>
      <w:r>
        <w:rPr>
          <w:rFonts w:ascii="Helvetica Neue" w:hAnsi="Helvetica Neue"/>
          <w:sz w:val="24"/>
          <w:szCs w:val="24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Ceny služby Bitstream (dle přílohy 3f)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2"/>
          <w:szCs w:val="12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2"/>
          <w:szCs w:val="12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/>
          <w:b w:val="false"/>
          <w:b w:val="false"/>
          <w:bCs w:val="false"/>
          <w:sz w:val="24"/>
          <w:szCs w:val="24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>Příjemce dotace stanoví velkoobchodní ceny za služby datového toku (bitstreamu) navýšením ceny za své službu VULA (viz kap. IV. 8.1 nebo IV. 8.2) o náklady související s poskytnutím přenosové kapacity do povinného předávacího bodu a přiměřený zisk, který se odvíjí od aktuálně platn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é</w:t>
      </w:r>
      <w:r>
        <w:rPr>
          <w:rFonts w:ascii="Helvetica Neue" w:hAnsi="Helvetica Neue"/>
          <w:b w:val="false"/>
          <w:bCs w:val="false"/>
          <w:sz w:val="24"/>
          <w:szCs w:val="24"/>
          <w:shd w:fill="auto" w:val="clear"/>
        </w:rPr>
        <w:t xml:space="preserve"> ČTÚ stanovené hodnoty WACC. V případě poskytování přístupu datovému toku na Central Office (náhrada za VULA v bezdrátových sítích) se velkoobchodní cena stanoví podle podmínek stanovení ceny VULA v kap. IV. 8.1 a IV. 8.2. Stanoven</w:t>
      </w: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é konkrétních cen podléhá individuální kalkulaci.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6"/>
          <w:szCs w:val="16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6"/>
          <w:szCs w:val="16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 w:eastAsia="Songti SC" w:cs="Arial Unicode MS"/>
          <w:b/>
          <w:b/>
          <w:bCs/>
          <w:color w:val="000000"/>
          <w:kern w:val="2"/>
          <w:sz w:val="12"/>
          <w:szCs w:val="12"/>
          <w:shd w:fill="auto" w:val="clear"/>
          <w:lang w:val="cs-CZ" w:eastAsia="zh-CN" w:bidi="hi-IN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12"/>
          <w:szCs w:val="12"/>
          <w:shd w:fill="auto" w:val="clear"/>
          <w:lang w:val="cs-CZ" w:eastAsia="zh-CN" w:bidi="hi-IN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Relace mezi maloobchodními cenami</w:t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vertikálně integrovaného operátora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2"/>
          <w:szCs w:val="12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2"/>
          <w:szCs w:val="12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Struktura maloobchodních služeb je dána rozhodnutím Sprintel. Maloobchodní ceny balíčků služeb jsou stanoveny tak, aby doplňkové služby k službě přístupu k síti Internetu nebyly nabízeny na dotované síti za méně, než jsou dodatečné náklady na jejich poskytování. Doplňkovou službou se rozumí jakákoliv služba nabízená v balíčku služeb, kromě služby přístupu k síti Internet. Výše uvedenou podmínku lze vyjádřit tímto vztahem:</w:t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 w:val="false"/>
          <w:b w:val="false"/>
          <w:bCs w:val="false"/>
          <w:sz w:val="20"/>
          <w:szCs w:val="20"/>
          <w:highlight w:val="none"/>
          <w:shd w:fill="auto" w:val="clear"/>
        </w:rPr>
      </w:pPr>
      <w:r>
        <w:rPr/>
        <w:drawing>
          <wp:inline distT="0" distB="0" distL="0" distR="0">
            <wp:extent cx="4676140" cy="1681480"/>
            <wp:effectExtent l="0" t="0" r="0" b="0"/>
            <wp:docPr id="3" name="Obrázek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3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168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2"/>
          <w:szCs w:val="12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2"/>
          <w:szCs w:val="12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12"/>
          <w:szCs w:val="12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12"/>
          <w:szCs w:val="12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center"/>
        <w:rPr>
          <w:rFonts w:ascii="Helvetica Neue" w:hAnsi="Helvetica Neue"/>
          <w:b/>
          <w:b/>
          <w:bCs/>
          <w:sz w:val="28"/>
          <w:szCs w:val="28"/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 xml:space="preserve">Článek VII.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6"/>
          <w:szCs w:val="26"/>
          <w:shd w:fill="auto" w:val="clear"/>
          <w:lang w:val="cs-CZ" w:eastAsia="zh-CN" w:bidi="hi-IN"/>
        </w:rPr>
        <w:t xml:space="preserve">– </w:t>
      </w:r>
      <w:r>
        <w:rPr>
          <w:rFonts w:eastAsia="Songti SC" w:cs="Arial Unicode MS" w:ascii="Helvetica Neue" w:hAnsi="Helvetica Neue"/>
          <w:b/>
          <w:bCs/>
          <w:color w:val="000000"/>
          <w:kern w:val="2"/>
          <w:sz w:val="28"/>
          <w:szCs w:val="28"/>
          <w:shd w:fill="auto" w:val="clear"/>
          <w:lang w:val="cs-CZ" w:eastAsia="zh-CN" w:bidi="hi-IN"/>
        </w:rPr>
        <w:t>Velkoobchodní jednorázové ceny za aktivaci služeb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/>
          <w:b w:val="false"/>
          <w:b w:val="false"/>
          <w:bCs w:val="false"/>
          <w:sz w:val="8"/>
          <w:szCs w:val="8"/>
          <w:highlight w:val="none"/>
          <w:shd w:fill="auto" w:val="clear"/>
        </w:rPr>
      </w:pPr>
      <w:r>
        <w:rPr>
          <w:rFonts w:ascii="Helvetica Neue" w:hAnsi="Helvetica Neue"/>
          <w:b w:val="false"/>
          <w:bCs w:val="false"/>
          <w:sz w:val="8"/>
          <w:szCs w:val="8"/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Velkoobchodní jednorázové ceny za aktivaci služeb zahrnují náklady, vč. přiměřeného zisku, který se odvíjí od aktuálně platné ČTÚ stanovené hodnoty WACC, na nezbytně nutné procesy pro zřízení služby.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rFonts w:ascii="Helvetica Neue" w:hAnsi="Helvetica Neue" w:eastAsia="Songti SC" w:cs="Arial Unicode MS"/>
          <w:b w:val="false"/>
          <w:b w:val="false"/>
          <w:bCs w:val="false"/>
          <w:color w:val="auto"/>
          <w:kern w:val="2"/>
          <w:sz w:val="12"/>
          <w:szCs w:val="12"/>
          <w:lang w:val="cs-CZ" w:eastAsia="zh-CN" w:bidi="hi-IN"/>
        </w:rPr>
      </w:pPr>
      <w:r>
        <w:rPr>
          <w:rFonts w:eastAsia="Songti SC" w:cs="Arial Unicode MS" w:ascii="Helvetica Neue" w:hAnsi="Helvetica Neue"/>
          <w:b w:val="false"/>
          <w:bCs w:val="false"/>
          <w:color w:val="auto"/>
          <w:kern w:val="2"/>
          <w:sz w:val="12"/>
          <w:szCs w:val="12"/>
          <w:lang w:val="cs-CZ" w:eastAsia="zh-CN" w:bidi="hi-IN"/>
        </w:rPr>
      </w:r>
    </w:p>
    <w:tbl>
      <w:tblPr>
        <w:tblW w:w="968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275"/>
        <w:gridCol w:w="1829"/>
        <w:gridCol w:w="1584"/>
      </w:tblGrid>
      <w:tr>
        <w:trPr/>
        <w:tc>
          <w:tcPr>
            <w:tcW w:w="627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Velkoobchodní jednorázové ceny za aktivaci</w:t>
            </w:r>
          </w:p>
        </w:tc>
        <w:tc>
          <w:tcPr>
            <w:tcW w:w="1829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Cena bez DPH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(jednor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ázově)</w:t>
            </w:r>
          </w:p>
        </w:tc>
        <w:tc>
          <w:tcPr>
            <w:tcW w:w="1584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fill="EEEEEE" w:val="clear"/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  <w:sz w:val="24"/>
                <w:szCs w:val="24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Jednotka</w:t>
            </w:r>
          </w:p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  <w:sz w:val="24"/>
                <w:szCs w:val="24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(prům. doba)</w:t>
            </w:r>
          </w:p>
        </w:tc>
      </w:tr>
      <w:tr>
        <w:trPr/>
        <w:tc>
          <w:tcPr>
            <w:tcW w:w="6275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P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řijetí objednávky, komunikace uvnitř firmy</w:t>
            </w:r>
          </w:p>
        </w:tc>
        <w:tc>
          <w:tcPr>
            <w:tcW w:w="182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242,42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 (20 min.)</w:t>
            </w:r>
          </w:p>
        </w:tc>
      </w:tr>
      <w:tr>
        <w:trPr/>
        <w:tc>
          <w:tcPr>
            <w:tcW w:w="6275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Ov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ěření poptávky v databázi, zpracování v systému, management poptávky</w:t>
            </w:r>
          </w:p>
        </w:tc>
        <w:tc>
          <w:tcPr>
            <w:tcW w:w="182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727,27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 (1 hod.)</w:t>
            </w:r>
          </w:p>
        </w:tc>
      </w:tr>
      <w:tr>
        <w:trPr/>
        <w:tc>
          <w:tcPr>
            <w:tcW w:w="6275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Udr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žovací poplatek za systémovou správu služby a zařízení v koncovém bodě sítě (koncové zařízení, pronájem účastnického vedení apod.)</w:t>
            </w:r>
          </w:p>
        </w:tc>
        <w:tc>
          <w:tcPr>
            <w:tcW w:w="182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3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m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ěsíc</w:t>
            </w:r>
          </w:p>
        </w:tc>
      </w:tr>
      <w:tr>
        <w:trPr/>
        <w:tc>
          <w:tcPr>
            <w:tcW w:w="6275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Vyhodnocen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í plánu služeb, konzultace</w:t>
            </w:r>
          </w:p>
        </w:tc>
        <w:tc>
          <w:tcPr>
            <w:tcW w:w="182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1454,54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 (2 hod.)</w:t>
            </w:r>
          </w:p>
        </w:tc>
      </w:tr>
      <w:tr>
        <w:trPr/>
        <w:tc>
          <w:tcPr>
            <w:tcW w:w="6275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Technick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é šetření základní</w:t>
            </w:r>
          </w:p>
        </w:tc>
        <w:tc>
          <w:tcPr>
            <w:tcW w:w="182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1454,54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 (2 hod.)</w:t>
            </w:r>
          </w:p>
        </w:tc>
      </w:tr>
      <w:tr>
        <w:trPr/>
        <w:tc>
          <w:tcPr>
            <w:tcW w:w="6275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Konfigurace GPON</w:t>
            </w:r>
          </w:p>
        </w:tc>
        <w:tc>
          <w:tcPr>
            <w:tcW w:w="182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727,27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 (1 hod.)</w:t>
            </w:r>
          </w:p>
        </w:tc>
      </w:tr>
      <w:tr>
        <w:trPr/>
        <w:tc>
          <w:tcPr>
            <w:tcW w:w="6275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Cestovn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í náklady</w:t>
            </w: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 xml:space="preserve"> 0-15 km, jeden technik 15 min</w:t>
            </w:r>
          </w:p>
        </w:tc>
        <w:tc>
          <w:tcPr>
            <w:tcW w:w="182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446,28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</w:t>
            </w:r>
          </w:p>
        </w:tc>
      </w:tr>
      <w:tr>
        <w:trPr/>
        <w:tc>
          <w:tcPr>
            <w:tcW w:w="6275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Cestovn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í náklady</w:t>
            </w: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 xml:space="preserve"> 15 -30 km, jeden technik 30 min.</w:t>
            </w:r>
          </w:p>
        </w:tc>
        <w:tc>
          <w:tcPr>
            <w:tcW w:w="182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892,56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</w:t>
            </w:r>
          </w:p>
        </w:tc>
      </w:tr>
      <w:tr>
        <w:trPr/>
        <w:tc>
          <w:tcPr>
            <w:tcW w:w="6275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Měření spojen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 xml:space="preserve">í do </w:t>
            </w: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koncového bodu s</w:t>
            </w:r>
            <w:r>
              <w:rPr>
                <w:rFonts w:eastAsia="Songti SC" w:cs="Arial Unicode MS" w:ascii="Helvetica Neue" w:hAnsi="Helvetica Neue"/>
                <w:color w:val="000000"/>
                <w:kern w:val="2"/>
                <w:sz w:val="24"/>
                <w:szCs w:val="24"/>
                <w:shd w:fill="auto" w:val="clear"/>
                <w:lang w:val="cs-CZ" w:eastAsia="zh-CN" w:bidi="hi-IN"/>
              </w:rPr>
              <w:t>ítě</w:t>
            </w: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, testovací měření</w:t>
            </w:r>
          </w:p>
        </w:tc>
        <w:tc>
          <w:tcPr>
            <w:tcW w:w="1829" w:type="dxa"/>
            <w:tcBorders>
              <w:left w:val="single" w:sz="4" w:space="0" w:color="B2B2B2"/>
              <w:bottom w:val="single" w:sz="4" w:space="0" w:color="B2B2B2"/>
            </w:tcBorders>
          </w:tcPr>
          <w:p>
            <w:pPr>
              <w:pStyle w:val="Obsahtabulky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1200</w:t>
            </w:r>
          </w:p>
        </w:tc>
        <w:tc>
          <w:tcPr>
            <w:tcW w:w="1584" w:type="dxa"/>
            <w:tcBorders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ks (1 hod.)</w:t>
            </w:r>
          </w:p>
        </w:tc>
      </w:tr>
    </w:tbl>
    <w:p>
      <w:pPr>
        <w:pStyle w:val="Tlotextu"/>
        <w:spacing w:lineRule="auto" w:line="290" w:before="1" w:after="0"/>
        <w:ind w:left="136" w:right="135" w:hanging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highlight w:val="none"/>
          <w:shd w:fill="auto" w:val="clear"/>
        </w:rPr>
      </w:pPr>
      <w:r>
        <w:rPr>
          <w:rFonts w:eastAsia="Songti SC" w:cs="Arial Unicode MS" w:ascii="Helvetica Neue" w:hAnsi="Helvetica Neue"/>
          <w:b w:val="false"/>
          <w:bCs w:val="false"/>
          <w:color w:val="000000"/>
          <w:kern w:val="2"/>
          <w:sz w:val="24"/>
          <w:szCs w:val="24"/>
          <w:shd w:fill="auto" w:val="clear"/>
          <w:lang w:val="cs-CZ" w:eastAsia="zh-CN" w:bidi="hi-IN"/>
        </w:rPr>
        <w:t>Ceny za služby, práce a úkony v tabulce neuvedené se řídí platným ceníkem fi. Sprintel.</w:t>
      </w:r>
    </w:p>
    <w:p>
      <w:pPr>
        <w:pStyle w:val="Tlotextu"/>
        <w:spacing w:lineRule="auto" w:line="290" w:before="1" w:after="0"/>
        <w:ind w:left="136" w:right="135" w:hanging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 w:eastAsia="Songti SC" w:cs="Arial Unicode MS"/>
          <w:color w:val="000000"/>
          <w:kern w:val="2"/>
          <w:sz w:val="24"/>
          <w:szCs w:val="24"/>
          <w:lang w:val="cs-CZ" w:eastAsia="zh-CN" w:bidi="hi-IN"/>
        </w:rPr>
      </w:pPr>
      <w:r>
        <w:rPr>
          <w:rFonts w:eastAsia="Songti SC" w:cs="Arial Unicode MS" w:ascii="Helvetica Neue" w:hAnsi="Helvetica Neue"/>
          <w:color w:val="000000"/>
          <w:kern w:val="2"/>
          <w:sz w:val="24"/>
          <w:szCs w:val="24"/>
          <w:lang w:val="cs-CZ" w:eastAsia="zh-CN" w:bidi="hi-IN"/>
        </w:rPr>
        <w:t xml:space="preserve">Dále je nabízena volitelná služba, monitorování neomezeného počtu KZÚP v systému a dohledovém centru Sprintel. Služba zahrnuje odstraňování poruch v rozsahu 30 min. na jednoho KZÚP bez výjezdu technika a rozšířenou podporu procesů. Cena této služby  je 5500.- Kč bez DPH měsíčně.  </w:t>
      </w:r>
    </w:p>
    <w:p>
      <w:pPr>
        <w:pStyle w:val="Tlotextu"/>
        <w:spacing w:lineRule="auto" w:line="290" w:before="1" w:after="0"/>
        <w:ind w:left="136" w:right="135" w:hanging="0"/>
        <w:jc w:val="both"/>
        <w:rPr>
          <w:rFonts w:ascii="Helvetica Neue" w:hAnsi="Helvetica Neue" w:eastAsia="Songti SC" w:cs="Arial Unicode MS"/>
          <w:color w:val="000000"/>
          <w:kern w:val="2"/>
          <w:sz w:val="16"/>
          <w:szCs w:val="16"/>
          <w:lang w:val="cs-CZ" w:eastAsia="zh-CN" w:bidi="hi-IN"/>
        </w:rPr>
      </w:pPr>
      <w:r>
        <w:rPr/>
      </w:r>
    </w:p>
    <w:sectPr>
      <w:headerReference w:type="default" r:id="rId7"/>
      <w:headerReference w:type="first" r:id="rId8"/>
      <w:footerReference w:type="default" r:id="rId9"/>
      <w:footerReference w:type="first" r:id="rId10"/>
      <w:type w:val="nextPage"/>
      <w:pgSz w:w="11906" w:h="16838"/>
      <w:pgMar w:left="1134" w:right="1134" w:gutter="0" w:header="567" w:top="1340" w:footer="567" w:bottom="1799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  <w:font w:name="Helvetica Neue">
    <w:charset w:val="01"/>
    <w:family w:val="roman"/>
    <w:pitch w:val="variable"/>
  </w:font>
  <w:font w:name="Helvetica Neue">
    <w:charset w:val="01"/>
    <w:family w:val="auto"/>
    <w:pitch w:val="variable"/>
  </w:font>
  <w:font w:name="Wingdings 2"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bidi w:val="0"/>
      <w:snapToGrid w:val="false"/>
      <w:jc w:val="left"/>
      <w:rPr/>
    </w:pPr>
    <w:r>
      <w:rPr/>
      <mc:AlternateContent>
        <mc:Choice Requires="wps">
          <w:drawing>
            <wp:anchor behindDoc="1" distT="635" distB="635" distL="635" distR="635" simplePos="0" locked="0" layoutInCell="0" allowOverlap="1" relativeHeight="14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6" name="Čár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2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  <w:tbl>
    <w:tblPr>
      <w:tblW w:w="5000" w:type="pct"/>
      <w:jc w:val="left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8731"/>
      <w:gridCol w:w="906"/>
    </w:tblGrid>
    <w:tr>
      <w:trPr/>
      <w:tc>
        <w:tcPr>
          <w:tcW w:w="8731" w:type="dxa"/>
          <w:tcBorders/>
        </w:tcPr>
        <w:p>
          <w:pPr>
            <w:pStyle w:val="Obsahtabulky"/>
            <w:widowControl w:val="false"/>
            <w:suppressLineNumbers/>
            <w:bidi w:val="0"/>
            <w:jc w:val="lef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t>Příloha č. 8</w:t>
          </w:r>
        </w:p>
      </w:tc>
      <w:tc>
        <w:tcPr>
          <w:tcW w:w="906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PAGE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7</w:t>
          </w:r>
          <w:r>
            <w:rPr>
              <w:rFonts w:ascii="Helvetica Neue" w:hAnsi="Helvetica Neue"/>
            </w:rPr>
            <w:fldChar w:fldCharType="end"/>
          </w:r>
          <w:r>
            <w:rPr>
              <w:rFonts w:ascii="Helvetica Neue" w:hAnsi="Helvetica Neue"/>
            </w:rPr>
            <w:t>/</w:t>
          </w: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NUMPAGES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7</w:t>
          </w:r>
          <w:r>
            <w:rPr>
              <w:rFonts w:ascii="Helvetica Neue" w:hAnsi="Helvetica Neue"/>
            </w:rPr>
            <w:fldChar w:fldCharType="end"/>
          </w:r>
        </w:p>
      </w:tc>
    </w:tr>
  </w:tbl>
  <w:p>
    <w:pPr>
      <w:pStyle w:val="Zpat"/>
      <w:bidi w:val="0"/>
      <w:snapToGrid w:val="false"/>
      <w:jc w:val="lef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bidi w:val="0"/>
      <w:jc w:val="left"/>
      <w:rPr>
        <w:sz w:val="4"/>
        <w:szCs w:val="4"/>
      </w:rPr>
    </w:pPr>
    <w:r>
      <w:rPr>
        <w:sz w:val="4"/>
        <w:szCs w:val="4"/>
      </w:rPr>
    </w:r>
  </w:p>
  <w:tbl>
    <w:tblPr>
      <w:tblW w:w="9546" w:type="dxa"/>
      <w:jc w:val="left"/>
      <w:tblInd w:w="0" w:type="dxa"/>
      <w:tblLayout w:type="fixed"/>
      <w:tblCellMar>
        <w:top w:w="0" w:type="dxa"/>
        <w:left w:w="70" w:type="dxa"/>
        <w:bottom w:w="0" w:type="dxa"/>
        <w:right w:w="70" w:type="dxa"/>
      </w:tblCellMar>
    </w:tblPr>
    <w:tblGrid>
      <w:gridCol w:w="4773"/>
      <w:gridCol w:w="4772"/>
    </w:tblGrid>
    <w:tr>
      <w:trPr/>
      <w:tc>
        <w:tcPr>
          <w:tcW w:w="4773" w:type="dxa"/>
          <w:tcBorders/>
        </w:tcPr>
        <w:p>
          <w:pPr>
            <w:pStyle w:val="Zpat"/>
            <w:widowControl w:val="false"/>
            <w:bidi w:val="0"/>
            <w:rPr>
              <w:rFonts w:ascii="Tahoma" w:hAnsi="Tahoma" w:eastAsia="Times New Roman" w:cs="Tahoma"/>
              <w:b w:val="false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Sprintel s.r.o.</w:t>
          </w:r>
        </w:p>
        <w:p>
          <w:pPr>
            <w:pStyle w:val="Zpat"/>
            <w:widowControl w:val="false"/>
            <w:bidi w:val="0"/>
            <w:rPr>
              <w:rFonts w:ascii="Tahoma" w:hAnsi="Tahoma" w:eastAsia="Times New Roman" w:cs="Tahoma"/>
              <w:b w:val="false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IČ: 26974487 , DIČ: CZ26974487</w:t>
          </w:r>
        </w:p>
      </w:tc>
      <w:tc>
        <w:tcPr>
          <w:tcW w:w="4772" w:type="dxa"/>
          <w:tcBorders/>
        </w:tcPr>
        <w:p>
          <w:pPr>
            <w:pStyle w:val="Zpat"/>
            <w:widowControl w:val="false"/>
            <w:bidi w:val="0"/>
            <w:jc w:val="right"/>
            <w:rPr/>
          </w:pPr>
          <w:r>
            <w:rPr>
              <w:rFonts w:cs="Tahoma" w:ascii="Tahoma" w:hAnsi="Tahoma"/>
              <w:sz w:val="22"/>
              <w:szCs w:val="22"/>
            </w:rPr>
            <w:t>www.sprintel.cz  info@sprintel.cz</w:t>
          </w:r>
        </w:p>
        <w:p>
          <w:pPr>
            <w:pStyle w:val="Zpat"/>
            <w:widowControl w:val="false"/>
            <w:bidi w:val="0"/>
            <w:jc w:val="right"/>
            <w:rPr>
              <w:rFonts w:ascii="Tahoma" w:hAnsi="Tahoma" w:cs="Tahoma"/>
              <w:sz w:val="22"/>
              <w:szCs w:val="22"/>
            </w:rPr>
          </w:pPr>
          <w:r>
            <w:rPr>
              <w:rFonts w:cs="Tahoma" w:ascii="Tahoma" w:hAnsi="Tahoma"/>
              <w:sz w:val="22"/>
              <w:szCs w:val="22"/>
            </w:rPr>
            <w:t>588 008 008</w:t>
          </w:r>
        </w:p>
      </w:tc>
    </w:tr>
  </w:tbl>
  <w:p>
    <w:pPr>
      <w:pStyle w:val="Normal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4818"/>
      <w:gridCol w:w="4819"/>
    </w:tblGrid>
    <w:tr>
      <w:trPr/>
      <w:tc>
        <w:tcPr>
          <w:tcW w:w="4818" w:type="dxa"/>
          <w:tcBorders/>
        </w:tcPr>
        <w:p>
          <w:pPr>
            <w:pStyle w:val="Zhlav"/>
            <w:pageBreakBefore/>
            <w:widowControl w:val="false"/>
            <w:bidi w:val="0"/>
            <w:jc w:val="lef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drawing>
              <wp:anchor behindDoc="1" distT="0" distB="0" distL="0" distR="0" simplePos="0" locked="0" layoutInCell="0" allowOverlap="1" relativeHeight="22">
                <wp:simplePos x="0" y="0"/>
                <wp:positionH relativeFrom="column">
                  <wp:posOffset>320040</wp:posOffset>
                </wp:positionH>
                <wp:positionV relativeFrom="paragraph">
                  <wp:posOffset>786130</wp:posOffset>
                </wp:positionV>
                <wp:extent cx="5380355" cy="8315325"/>
                <wp:effectExtent l="0" t="0" r="0" b="0"/>
                <wp:wrapNone/>
                <wp:docPr id="4" name="Obrázek4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4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0355" cy="831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Helvetica Neue" w:hAnsi="Helvetica Neue"/>
              <w:shd w:fill="auto" w:val="clear"/>
            </w:rPr>
            <w:t>Referenční velkoobchodní nabídka</w:t>
          </w:r>
        </w:p>
      </w:tc>
      <w:tc>
        <w:tcPr>
          <w:tcW w:w="4819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t>Verze 0.1 ze dne 2.1.2024</w:t>
          </w:r>
        </w:p>
      </w:tc>
    </w:tr>
  </w:tbl>
  <w:p>
    <w:pPr>
      <w:pStyle w:val="Zhlav"/>
      <w:bidi w:val="0"/>
      <w:jc w:val="left"/>
      <w:rPr>
        <w:rFonts w:ascii="Helvetica Neue" w:hAnsi="Helvetica Neue"/>
        <w:sz w:val="4"/>
        <w:szCs w:val="4"/>
      </w:rPr>
    </w:pPr>
    <w:r>
      <w:rPr>
        <w:rFonts w:ascii="Helvetica Neue" w:hAnsi="Helvetica Neue"/>
        <w:sz w:val="4"/>
        <w:szCs w:val="4"/>
      </w:rPr>
    </w:r>
  </w:p>
  <w:p>
    <w:pPr>
      <w:pStyle w:val="Zhlav"/>
      <w:bidi w:val="0"/>
      <w:jc w:val="left"/>
      <w:rPr>
        <w:sz w:val="12"/>
        <w:szCs w:val="12"/>
      </w:rPr>
    </w:pPr>
    <w:r>
      <w:rPr>
        <w:sz w:val="12"/>
        <w:szCs w:val="12"/>
      </w:rPr>
      <mc:AlternateContent>
        <mc:Choice Requires="wps">
          <w:drawing>
            <wp:anchor behindDoc="1" distT="635" distB="635" distL="635" distR="635" simplePos="0" locked="0" layoutInCell="0" allowOverlap="1" relativeHeight="8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5" name="Čára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1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bidi w:val="0"/>
      <w:jc w:val="left"/>
      <w:rPr/>
    </w:pPr>
    <w:r>
      <w:rPr/>
    </w:r>
  </w:p>
  <w:p>
    <w:pPr>
      <w:pStyle w:val="Zhlav"/>
      <w:bidi w:val="0"/>
      <w:jc w:val="left"/>
      <w:rPr/>
    </w:pPr>
    <w:r>
      <w:rPr/>
    </w:r>
  </w:p>
</w:hdr>
</file>

<file path=word/settings.xml><?xml version="1.0" encoding="utf-8"?>
<w:settings xmlns:w="http://schemas.openxmlformats.org/wordprocessingml/2006/main">
  <w:zoom w:percent="85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cs-CZ" w:eastAsia="zh-CN" w:bidi="hi-IN"/>
    </w:rPr>
  </w:style>
  <w:style w:type="paragraph" w:styleId="Nadpis1">
    <w:name w:val="Heading 1"/>
    <w:basedOn w:val="Normal"/>
    <w:qFormat/>
    <w:pPr>
      <w:ind w:left="491" w:hanging="357"/>
      <w:outlineLvl w:val="0"/>
    </w:pPr>
    <w:rPr>
      <w:rFonts w:ascii="Arial" w:hAnsi="Arial" w:eastAsia="Arial" w:cs="Arial"/>
      <w:sz w:val="32"/>
      <w:szCs w:val="32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 Unicode M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Zhlav">
    <w:name w:val="Header"/>
    <w:basedOn w:val="Zhlavazpat"/>
    <w:pPr>
      <w:suppressLineNumbers/>
    </w:pPr>
    <w:rPr/>
  </w:style>
  <w:style w:type="paragraph" w:styleId="Zpat">
    <w:name w:val="Footer"/>
    <w:basedOn w:val="Zhlavazpat"/>
    <w:pPr>
      <w:suppressLineNumbers/>
      <w:spacing w:lineRule="auto" w:line="240" w:before="0" w:after="0"/>
      <w:contextualSpacing/>
    </w:pPr>
    <w:rPr/>
  </w:style>
  <w:style w:type="paragraph" w:styleId="Vodorovnra">
    <w:name w:val="Vodorovná čára"/>
    <w:basedOn w:val="Normal"/>
    <w:next w:val="Tlotextu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left="636" w:hanging="0"/>
    </w:pPr>
    <w:rPr/>
  </w:style>
  <w:style w:type="paragraph" w:styleId="Bodydal">
    <w:name w:val="body - další"/>
    <w:basedOn w:val="ListParagraph"/>
    <w:qFormat/>
    <w:pPr>
      <w:widowControl/>
      <w:spacing w:lineRule="auto" w:line="276" w:before="0" w:after="120"/>
      <w:ind w:left="0" w:hanging="0"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Songti SC" w:cs="Arial Unicode MS"/>
      <w:color w:val="000000"/>
      <w:kern w:val="2"/>
      <w:sz w:val="24"/>
      <w:szCs w:val="24"/>
      <w:lang w:val="cs-CZ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sprintel.cz/" TargetMode="External"/><Relationship Id="rId4" Type="http://schemas.openxmlformats.org/officeDocument/2006/relationships/image" Target="media/image2.png"/><Relationship Id="rId5" Type="http://schemas.openxmlformats.org/officeDocument/2006/relationships/hyperlink" Target="http://www.sprintel.cz/sprintel-cz/internet/opticke-pripojeni/tarify-pro-jednotlivce/" TargetMode="External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6662</TotalTime>
  <Application>LibreOffice/7.3.6.2$MacOSX_X86_64 LibreOffice_project/c28ca90fd6e1a19e189fc16c05f8f8924961e12e</Application>
  <AppVersion>15.0000</AppVersion>
  <Pages>7</Pages>
  <Words>1300</Words>
  <Characters>7613</Characters>
  <CharactersWithSpaces>8769</CharactersWithSpaces>
  <Paragraphs>160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2022-04-14T13:44:00Z</dcterms:created>
  <dc:creator>Petržílka OISF</dc:creator>
  <dc:description/>
  <dc:language>cs-CZ</dc:language>
  <cp:lastModifiedBy>Petr Kapounek</cp:lastModifiedBy>
  <dcterms:modified xsi:type="dcterms:W3CDTF">2024-02-29T07:56:34Z</dcterms:modified>
  <cp:revision>294</cp:revision>
  <dc:subject>I. Výzva NPO - Digitální vysokokapacitní sítě</dc:subject>
  <dc:title>Příloha 7 - Pokyny k velkoobchodní nabídce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