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4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 w:ascii="Helvetica Neue" w:hAnsi="Helvetica Neue"/>
          <w:color w:val="auto"/>
          <w:kern w:val="2"/>
          <w:lang w:val="cs-CZ" w:eastAsia="zh-CN" w:bidi="hi-IN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Minimální soubor SLA</w:t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32"/>
          <w:szCs w:val="32"/>
        </w:rPr>
      </w:pPr>
      <w:r>
        <w:rPr>
          <w:rFonts w:ascii="Helvetica Neue" w:hAnsi="Helvetica Neue"/>
          <w:sz w:val="32"/>
          <w:szCs w:val="32"/>
        </w:rPr>
      </w:r>
      <w:r>
        <w:br w:type="page"/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/>
      </w:pPr>
      <w:r>
        <w:rPr>
          <w:rFonts w:ascii="Helvetica Neue" w:hAnsi="Helvetica Neue"/>
        </w:rPr>
        <w:t>Minimální soubor SLA</w:t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I.</w:t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Parametry kvality služby pro jednotlivé typy přístupu</w:t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povinné a volitelné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tbl>
      <w:tblPr>
        <w:tblW w:w="964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71"/>
        <w:gridCol w:w="2038"/>
        <w:gridCol w:w="1656"/>
        <w:gridCol w:w="1815"/>
        <w:gridCol w:w="1365"/>
      </w:tblGrid>
      <w:tr>
        <w:trPr/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Parametr kvality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řístup k pasivní infrastruktuře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(kabelovody, chráničky, nenasvícené optické vlákno)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Fyzick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é zpřístupnění účastnického vedení a jeho úseku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</w:rPr>
              <w:t>Virtu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ální zpřístupnění účastnického vedení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 (VULA)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řístup k datovému toku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(Bitstream)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</w:rPr>
              <w:t>Doba z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řízení služby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(vč. změny typu přístupu – migrace a doby pro změnu poskytovatele služby)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 / volitelný *)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 dostupnost služby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Volitelný, povinný pouze pro vlákno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Doba opravy slu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žby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 dostupnost předávacího rozhraní služeb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Volitelný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Volitelný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Doba pro poskytnut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í informace o volných kapacitách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 dostupnost objednávkového systému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  <w:tr>
        <w:trPr/>
        <w:tc>
          <w:tcPr>
            <w:tcW w:w="2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Kvalita slu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žby</w:t>
            </w:r>
          </w:p>
        </w:tc>
        <w:tc>
          <w:tcPr>
            <w:tcW w:w="20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-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-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Povinn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  <w:t>*) Uveden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é SLA je volitelné pouze pro změnu poskytovatele služby prostřednictvím přístupu k pasivní infrastruktuře, pro ostatní možnosti je povinné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sz w:val="24"/>
          <w:szCs w:val="24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umožní migraci mezi jednotlivými typy přístupu v pouze nezbytně nutných lhůtách tak, aby došlo k minimálnímu výpadku anebo přerušení poskytovaných služeb v koncovém bodě.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</w:r>
      <w:r>
        <w:br w:type="page"/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sz w:val="24"/>
          <w:szCs w:val="24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Doba zřízení služby vč. migrace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garantuje maximální dobu pro zřízení služby pro všechny typy přístupu 30 dní a pro změnu poskytovatele služby 9 pracovních dnů.  Sprintel umožní a zajistí součinnost na své straně, aby změna poskytovatele služby mohla proběhnout v souladu s § 34a zákona o elektronických komunikacích a vyhlášky č. 58/2022 Sb. o podmínkách přenositelnosti čísel a změny poskytovatele služby přístupu k internetu.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Měsíční dostupnost služby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V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ýpočet měsíční dostupnosti služby se provádí následujícím způsobem: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sz w:val="16"/>
          <w:szCs w:val="16"/>
        </w:rPr>
      </w:pPr>
      <w:r>
        <w:rPr>
          <w:rFonts w:ascii="Helvetica Neue" w:hAnsi="Helvetica Neue"/>
          <w:sz w:val="16"/>
          <w:szCs w:val="16"/>
        </w:rPr>
      </w:r>
    </w:p>
    <w:tbl>
      <w:tblPr>
        <w:tblW w:w="10095" w:type="dxa"/>
        <w:jc w:val="left"/>
        <w:tblInd w:w="-1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00"/>
        <w:gridCol w:w="7094"/>
      </w:tblGrid>
      <w:tr>
        <w:trPr/>
        <w:tc>
          <w:tcPr>
            <w:tcW w:w="3000" w:type="dxa"/>
            <w:vMerge w:val="restart"/>
            <w:tcBorders/>
            <w:vAlign w:val="center"/>
          </w:tcPr>
          <w:p>
            <w:pPr>
              <w:pStyle w:val="Tlotextu"/>
              <w:widowControl w:val="false"/>
              <w:spacing w:lineRule="auto" w:line="290" w:before="1" w:after="0"/>
              <w:ind w:left="136" w:right="135" w:hanging="0"/>
              <w:jc w:val="right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  <w:t>m</w:t>
            </w:r>
            <w:r>
              <w:rPr>
                <w:rFonts w:eastAsia="Songti SC" w:cs="Arial Unicode MS" w:ascii="Helvetica" w:hAnsi="Helvetica"/>
                <w:color w:val="auto"/>
                <w:kern w:val="2"/>
                <w:sz w:val="21"/>
                <w:szCs w:val="21"/>
                <w:lang w:val="cs-CZ" w:eastAsia="zh-CN" w:bidi="hi-IN"/>
              </w:rPr>
              <w:t xml:space="preserve">ěsíční dostupnost (v %) = </w:t>
            </w:r>
          </w:p>
        </w:tc>
        <w:tc>
          <w:tcPr>
            <w:tcW w:w="7094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  <w:t>[(po</w:t>
            </w:r>
            <w:r>
              <w:rPr>
                <w:rFonts w:eastAsia="Songti SC" w:cs="Arial Unicode MS" w:ascii="Helvetica" w:hAnsi="Helvetica"/>
                <w:color w:val="auto"/>
                <w:kern w:val="2"/>
                <w:sz w:val="21"/>
                <w:szCs w:val="21"/>
                <w:lang w:val="cs-CZ" w:eastAsia="zh-CN" w:bidi="hi-IN"/>
              </w:rPr>
              <w:t>čet hodin v měsíci</w:t>
            </w:r>
            <w:r>
              <w:rPr>
                <w:rFonts w:ascii="Helvetica" w:hAnsi="Helvetica"/>
                <w:sz w:val="21"/>
                <w:szCs w:val="21"/>
              </w:rPr>
              <w:t>) - (sou</w:t>
            </w:r>
            <w:r>
              <w:rPr>
                <w:rFonts w:eastAsia="Songti SC" w:cs="Arial Unicode MS" w:ascii="Helvetica" w:hAnsi="Helvetica"/>
                <w:color w:val="auto"/>
                <w:kern w:val="2"/>
                <w:sz w:val="21"/>
                <w:szCs w:val="21"/>
                <w:lang w:val="cs-CZ" w:eastAsia="zh-CN" w:bidi="hi-IN"/>
              </w:rPr>
              <w:t>čet hodin trvání všech poruch v měsíci)</w:t>
            </w:r>
            <w:r>
              <w:rPr>
                <w:rFonts w:ascii="Helvetica" w:hAnsi="Helvetica"/>
                <w:sz w:val="21"/>
                <w:szCs w:val="21"/>
              </w:rPr>
              <w:t>] x 100</w:t>
            </w:r>
          </w:p>
        </w:tc>
      </w:tr>
      <w:tr>
        <w:trPr/>
        <w:tc>
          <w:tcPr>
            <w:tcW w:w="3000" w:type="dxa"/>
            <w:vMerge w:val="continue"/>
            <w:tcBorders/>
          </w:tcPr>
          <w:p>
            <w:pPr>
              <w:pStyle w:val="Obsahtabulky"/>
              <w:widowControl w:val="false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</w:r>
          </w:p>
        </w:tc>
        <w:tc>
          <w:tcPr>
            <w:tcW w:w="7094" w:type="dxa"/>
            <w:tcBorders/>
          </w:tcPr>
          <w:p>
            <w:pPr>
              <w:pStyle w:val="Obsahtabulky"/>
              <w:widowControl w:val="false"/>
              <w:jc w:val="center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  <w:t>(po</w:t>
            </w:r>
            <w:r>
              <w:rPr>
                <w:rFonts w:eastAsia="Songti SC" w:cs="Arial Unicode MS" w:ascii="Helvetica" w:hAnsi="Helvetica"/>
                <w:color w:val="auto"/>
                <w:kern w:val="2"/>
                <w:sz w:val="21"/>
                <w:szCs w:val="21"/>
                <w:lang w:val="cs-CZ" w:eastAsia="zh-CN" w:bidi="hi-IN"/>
              </w:rPr>
              <w:t>čet hodin v měsíci)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/>
          <w:color w:val="auto"/>
          <w:kern w:val="2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sz w:val="24"/>
          <w:szCs w:val="24"/>
        </w:rPr>
        <w:t>Do celkov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 xml:space="preserve">é dostupnosti služby se za kalendářní měsíc nezapočítává doba přerušení provozu služby z důvodu plánované údržby nebo přenosu služby. Sprintel garantuje minimální měsíční dostupnost služby pro všechny typy přístupu </w:t>
      </w:r>
      <w:r>
        <w:rPr>
          <w:rFonts w:eastAsia="Songti SC" w:cs="Arial Unicode MS" w:ascii="Helvetica Neue" w:hAnsi="Helvetica Neue"/>
          <w:b/>
          <w:bCs/>
          <w:color w:val="auto"/>
          <w:kern w:val="2"/>
          <w:sz w:val="24"/>
          <w:szCs w:val="24"/>
          <w:lang w:val="cs-CZ" w:eastAsia="zh-CN" w:bidi="hi-IN"/>
        </w:rPr>
        <w:t>98,5%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0"/>
          <w:szCs w:val="20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Doba opravy služby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garantuje maximální dobu opravy pro jednotlivé typy přístupu tak, jak je uvedena v následující tabulce: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9645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44"/>
        <w:gridCol w:w="4200"/>
      </w:tblGrid>
      <w:tr>
        <w:trPr/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řístup k pasivní infrastruktuře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(kabelovody, chráničky, nenasvícené optické vlákno) a 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Fyzické zpřístupnění účastnického vedení a jeho úseku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  <w:b/>
                <w:bCs/>
              </w:rPr>
              <w:t>Virtu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ální zpřístupnění účastnického vedení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 (VULA) a 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Přístup k datovému toku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(Bitstream)</w:t>
            </w:r>
          </w:p>
        </w:tc>
      </w:tr>
      <w:tr>
        <w:trPr/>
        <w:tc>
          <w:tcPr>
            <w:tcW w:w="5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20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80%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(jak s nutností, tak bez nutnosti výjezdu technika)</w:t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3 hodiny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80%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(bez nutnosti výjezdu technika)</w:t>
            </w:r>
          </w:p>
        </w:tc>
      </w:tr>
      <w:tr>
        <w:trPr/>
        <w:tc>
          <w:tcPr>
            <w:tcW w:w="5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40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95%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(jak s nutností, tak bez nutnosti výjezdu technika)</w:t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12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90%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(bez nutnosti výjezdu technika)</w:t>
            </w:r>
          </w:p>
        </w:tc>
      </w:tr>
      <w:tr>
        <w:trPr/>
        <w:tc>
          <w:tcPr>
            <w:tcW w:w="5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18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99%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(bez nutnosti výjezdu technika)</w:t>
            </w:r>
          </w:p>
        </w:tc>
      </w:tr>
      <w:tr>
        <w:trPr/>
        <w:tc>
          <w:tcPr>
            <w:tcW w:w="54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26 hodin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pro 70% p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řípadů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(v případě nutnosti výjezdu technika)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Měsíční dostupnost předávacího rozhraní služeb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garantuje minim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ální měsíční dostupnost a maximální dobu opravy předávacího rozhraní služeb (síťové rozhraní mezi sítí Sprintel a sítí Partnera) v souladu s následující tabulkou: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/>
          <w:color w:val="auto"/>
          <w:kern w:val="2"/>
          <w:lang w:val="cs-CZ" w:eastAsia="zh-CN" w:bidi="hi-IN"/>
        </w:rPr>
      </w:r>
    </w:p>
    <w:tbl>
      <w:tblPr>
        <w:tblW w:w="7770" w:type="dxa"/>
        <w:jc w:val="left"/>
        <w:tblInd w:w="8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33"/>
        <w:gridCol w:w="5836"/>
      </w:tblGrid>
      <w:tr>
        <w:trPr/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Typ rozhran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í</w:t>
            </w:r>
          </w:p>
        </w:tc>
        <w:tc>
          <w:tcPr>
            <w:tcW w:w="5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 dostupnost předávacího rozhraní služeb</w:t>
            </w:r>
          </w:p>
        </w:tc>
      </w:tr>
      <w:tr>
        <w:trPr/>
        <w:tc>
          <w:tcPr>
            <w:tcW w:w="19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Nez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álohované</w:t>
            </w:r>
          </w:p>
        </w:tc>
        <w:tc>
          <w:tcPr>
            <w:tcW w:w="5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99,5%</w:t>
            </w:r>
          </w:p>
        </w:tc>
      </w:tr>
      <w:tr>
        <w:trPr/>
        <w:tc>
          <w:tcPr>
            <w:tcW w:w="19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Z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álohované</w:t>
            </w:r>
          </w:p>
        </w:tc>
        <w:tc>
          <w:tcPr>
            <w:tcW w:w="5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99,9%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Doba pro poskytnutí informace o volných kapacitách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garantuje maximální dobu pro poskytnutí informace o volných kapacitách v případě pasivní infrastruktury a nenasvícených vláken ve lhůtě 3 dnů od jejich obdržení úplné žádosti elektronickou cestou (email nebo objednávkový systém) pro každou konkrétní poptanou trasu, území a typ infrastruktury. V případě nutnosti verifikace fyzickým šetřením bude šetření provedeno nejpozději do 15ti dnů od podání žádosti o toto šetření. Sprintel může tuto podmínku splnit přístupem k mapovým podkladům vybudované infrastruktury způsobem umožňujícím dálkový přístup.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Měsíční dostupnost objednávkového systému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garantuje minim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álně 95% měsíční dostupnost objednávkového systému, pokud je využíván. Doba nedostupnosti se vypočítá jak o délka časového úseku mezi okamžikem, kdy Partner nedostupnost objednávkové systému oznámil Sprintel a okamžikem, kdy Sprintel nedostupnost odstranil. O obnovení dostupnosti objednávkového systému je Sprintel povinen bez zbytečného odkladu vyrozumět Partnera.</w:t>
      </w:r>
    </w:p>
    <w:p>
      <w:pPr>
        <w:pStyle w:val="Normal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Kvalita služby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auto"/>
          <w:kern w:val="2"/>
          <w:sz w:val="24"/>
          <w:szCs w:val="24"/>
          <w:lang w:val="cs-CZ" w:eastAsia="zh-CN" w:bidi="hi-IN"/>
        </w:rPr>
        <w:t>Sprintel stanovuje a garantuje hraniční hodnoty chybovosti (ztrátovost) a zpoždění paketů / rámců v souladu s dokumentem ČTÚ Metodika pro měření a vyhodnocení datových parametrů pevných komunikačních sítí (Příloha č. 10).</w:t>
      </w:r>
    </w:p>
    <w:p>
      <w:pPr>
        <w:pStyle w:val="Tlotextu"/>
        <w:spacing w:lineRule="auto" w:line="290" w:before="1" w:after="0"/>
        <w:ind w:right="135" w:hanging="0"/>
        <w:jc w:val="center"/>
        <w:rPr>
          <w:b w:val="false"/>
          <w:b w:val="false"/>
          <w:bCs w:val="false"/>
          <w:sz w:val="24"/>
          <w:szCs w:val="24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7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4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4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</w:r>
  </w:p>
  <w:p>
    <w:pPr>
      <w:pStyle w:val="Zhlav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542</TotalTime>
  <Application>LibreOffice/7.3.6.2$MacOSX_X86_64 LibreOffice_project/c28ca90fd6e1a19e189fc16c05f8f8924961e12e</Application>
  <AppVersion>15.0000</AppVersion>
  <Pages>4</Pages>
  <Words>665</Words>
  <Characters>4208</Characters>
  <CharactersWithSpaces>4782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2024-02-27T12:27:02Z</dcterms:modified>
  <cp:revision>181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